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A4E" w:rsidRPr="00E27A4E" w:rsidRDefault="00E27A4E" w:rsidP="00E27A4E">
      <w:pPr>
        <w:spacing w:before="100" w:beforeAutospacing="1" w:after="100" w:afterAutospacing="1" w:line="288" w:lineRule="atLeast"/>
        <w:outlineLvl w:val="1"/>
        <w:rPr>
          <w:rFonts w:ascii="Tahoma" w:eastAsia="Times New Roman" w:hAnsi="Tahoma" w:cs="Tahoma"/>
          <w:color w:val="4E2A84"/>
          <w:sz w:val="69"/>
          <w:szCs w:val="69"/>
        </w:rPr>
      </w:pPr>
      <w:r w:rsidRPr="00E27A4E">
        <w:rPr>
          <w:rFonts w:ascii="Tahoma" w:eastAsia="Times New Roman" w:hAnsi="Tahoma" w:cs="Tahoma"/>
          <w:color w:val="4E2A84"/>
          <w:sz w:val="69"/>
          <w:szCs w:val="69"/>
        </w:rPr>
        <w:t>Exempt Review</w:t>
      </w:r>
    </w:p>
    <w:p w:rsidR="00E27A4E" w:rsidRPr="00E27A4E" w:rsidRDefault="00E27A4E" w:rsidP="00E27A4E">
      <w:pPr>
        <w:shd w:val="clear" w:color="auto" w:fill="FFFFFF"/>
        <w:spacing w:before="100" w:beforeAutospacing="1" w:after="100" w:afterAutospacing="1" w:line="240" w:lineRule="auto"/>
        <w:outlineLvl w:val="3"/>
        <w:rPr>
          <w:rFonts w:ascii="Arial" w:eastAsia="Times New Roman" w:hAnsi="Arial" w:cs="Arial"/>
          <w:color w:val="716C6B"/>
          <w:sz w:val="39"/>
          <w:szCs w:val="39"/>
        </w:rPr>
      </w:pPr>
      <w:r w:rsidRPr="00E27A4E">
        <w:rPr>
          <w:rFonts w:ascii="Arial" w:eastAsia="Times New Roman" w:hAnsi="Arial" w:cs="Arial"/>
          <w:color w:val="716C6B"/>
          <w:sz w:val="39"/>
          <w:szCs w:val="39"/>
        </w:rPr>
        <w:t>OHRP Exempt Categories 45 CFR 46.101(B) - (HRP-312)</w:t>
      </w:r>
    </w:p>
    <w:p w:rsidR="00E27A4E" w:rsidRPr="00E27A4E" w:rsidRDefault="00E27A4E" w:rsidP="00E27A4E">
      <w:pPr>
        <w:shd w:val="clear" w:color="auto" w:fill="FFFFFF"/>
        <w:spacing w:before="100" w:beforeAutospacing="1" w:after="100" w:afterAutospacing="1" w:line="240" w:lineRule="auto"/>
        <w:outlineLvl w:val="3"/>
        <w:rPr>
          <w:rFonts w:ascii="Arial" w:eastAsia="Times New Roman" w:hAnsi="Arial" w:cs="Arial"/>
          <w:color w:val="716C6B"/>
          <w:sz w:val="39"/>
          <w:szCs w:val="39"/>
        </w:rPr>
      </w:pPr>
      <w:r w:rsidRPr="00E27A4E">
        <w:rPr>
          <w:rFonts w:ascii="Arial" w:eastAsia="Times New Roman" w:hAnsi="Arial" w:cs="Arial"/>
          <w:color w:val="716C6B"/>
          <w:sz w:val="39"/>
          <w:szCs w:val="39"/>
        </w:rPr>
        <w:t>Category 1</w:t>
      </w:r>
    </w:p>
    <w:p w:rsidR="00E27A4E" w:rsidRPr="00E27A4E" w:rsidRDefault="00E27A4E" w:rsidP="00E27A4E">
      <w:pPr>
        <w:shd w:val="clear" w:color="auto" w:fill="FFFFFF"/>
        <w:spacing w:after="360" w:line="408" w:lineRule="atLeast"/>
        <w:rPr>
          <w:rFonts w:ascii="Arial" w:eastAsia="Times New Roman" w:hAnsi="Arial" w:cs="Arial"/>
          <w:color w:val="342F2E"/>
          <w:sz w:val="24"/>
          <w:szCs w:val="24"/>
        </w:rPr>
      </w:pPr>
      <w:r w:rsidRPr="00E27A4E">
        <w:rPr>
          <w:rFonts w:ascii="Arial" w:eastAsia="Times New Roman" w:hAnsi="Arial" w:cs="Arial"/>
          <w:color w:val="342F2E"/>
          <w:sz w:val="24"/>
          <w:szCs w:val="24"/>
        </w:rPr>
        <w:t>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w:t>
      </w:r>
    </w:p>
    <w:p w:rsidR="00E27A4E" w:rsidRPr="00E27A4E" w:rsidRDefault="00E27A4E" w:rsidP="00E27A4E">
      <w:pPr>
        <w:shd w:val="clear" w:color="auto" w:fill="FFFFFF"/>
        <w:spacing w:after="360" w:line="408" w:lineRule="atLeast"/>
        <w:rPr>
          <w:rFonts w:ascii="Arial" w:eastAsia="Times New Roman" w:hAnsi="Arial" w:cs="Arial"/>
          <w:color w:val="342F2E"/>
          <w:sz w:val="24"/>
          <w:szCs w:val="24"/>
        </w:rPr>
      </w:pPr>
      <w:r w:rsidRPr="00E27A4E">
        <w:rPr>
          <w:rFonts w:ascii="Arial" w:eastAsia="Times New Roman" w:hAnsi="Arial" w:cs="Arial"/>
          <w:color w:val="342F2E"/>
          <w:sz w:val="24"/>
          <w:szCs w:val="24"/>
        </w:rPr>
        <w:t>Examples:</w:t>
      </w:r>
    </w:p>
    <w:p w:rsidR="00E27A4E" w:rsidRPr="00E27A4E" w:rsidRDefault="00E27A4E" w:rsidP="00E27A4E">
      <w:pPr>
        <w:numPr>
          <w:ilvl w:val="0"/>
          <w:numId w:val="1"/>
        </w:numPr>
        <w:shd w:val="clear" w:color="auto" w:fill="FFFFFF"/>
        <w:spacing w:before="100" w:beforeAutospacing="1" w:after="100" w:afterAutospacing="1" w:line="408" w:lineRule="atLeast"/>
        <w:ind w:left="300"/>
        <w:rPr>
          <w:rFonts w:ascii="Arial" w:eastAsia="Times New Roman" w:hAnsi="Arial" w:cs="Arial"/>
          <w:color w:val="342F2E"/>
          <w:sz w:val="24"/>
          <w:szCs w:val="24"/>
        </w:rPr>
      </w:pPr>
      <w:r w:rsidRPr="00E27A4E">
        <w:rPr>
          <w:rFonts w:ascii="Arial" w:eastAsia="Times New Roman" w:hAnsi="Arial" w:cs="Arial"/>
          <w:color w:val="342F2E"/>
          <w:sz w:val="24"/>
          <w:szCs w:val="24"/>
        </w:rPr>
        <w:t>Evaluating the use of accepted or revised standardized tests</w:t>
      </w:r>
    </w:p>
    <w:p w:rsidR="00E27A4E" w:rsidRPr="00E27A4E" w:rsidRDefault="00E27A4E" w:rsidP="00E27A4E">
      <w:pPr>
        <w:numPr>
          <w:ilvl w:val="0"/>
          <w:numId w:val="1"/>
        </w:numPr>
        <w:shd w:val="clear" w:color="auto" w:fill="FFFFFF"/>
        <w:spacing w:before="100" w:beforeAutospacing="1" w:after="100" w:afterAutospacing="1" w:line="408" w:lineRule="atLeast"/>
        <w:ind w:left="300"/>
        <w:rPr>
          <w:rFonts w:ascii="Arial" w:eastAsia="Times New Roman" w:hAnsi="Arial" w:cs="Arial"/>
          <w:color w:val="342F2E"/>
          <w:sz w:val="24"/>
          <w:szCs w:val="24"/>
        </w:rPr>
      </w:pPr>
      <w:r w:rsidRPr="00E27A4E">
        <w:rPr>
          <w:rFonts w:ascii="Arial" w:eastAsia="Times New Roman" w:hAnsi="Arial" w:cs="Arial"/>
          <w:color w:val="342F2E"/>
          <w:sz w:val="24"/>
          <w:szCs w:val="24"/>
        </w:rPr>
        <w:t>Testing or comparing a curriculum or lesson</w:t>
      </w:r>
    </w:p>
    <w:p w:rsidR="00E27A4E" w:rsidRPr="00E27A4E" w:rsidRDefault="00E27A4E" w:rsidP="00E27A4E">
      <w:pPr>
        <w:numPr>
          <w:ilvl w:val="0"/>
          <w:numId w:val="1"/>
        </w:numPr>
        <w:shd w:val="clear" w:color="auto" w:fill="FFFFFF"/>
        <w:spacing w:before="100" w:beforeAutospacing="1" w:after="100" w:afterAutospacing="1" w:line="408" w:lineRule="atLeast"/>
        <w:ind w:left="300"/>
        <w:rPr>
          <w:rFonts w:ascii="Arial" w:eastAsia="Times New Roman" w:hAnsi="Arial" w:cs="Arial"/>
          <w:color w:val="342F2E"/>
          <w:sz w:val="24"/>
          <w:szCs w:val="24"/>
        </w:rPr>
      </w:pPr>
      <w:r w:rsidRPr="00E27A4E">
        <w:rPr>
          <w:rFonts w:ascii="Arial" w:eastAsia="Times New Roman" w:hAnsi="Arial" w:cs="Arial"/>
          <w:color w:val="342F2E"/>
          <w:sz w:val="24"/>
          <w:szCs w:val="24"/>
        </w:rPr>
        <w:t>A program evaluation of pharmacy continuing education</w:t>
      </w:r>
    </w:p>
    <w:p w:rsidR="00E27A4E" w:rsidRPr="00E27A4E" w:rsidRDefault="00E27A4E" w:rsidP="00E27A4E">
      <w:pPr>
        <w:shd w:val="clear" w:color="auto" w:fill="FFFFFF"/>
        <w:spacing w:before="100" w:beforeAutospacing="1" w:after="100" w:afterAutospacing="1" w:line="240" w:lineRule="auto"/>
        <w:outlineLvl w:val="3"/>
        <w:rPr>
          <w:rFonts w:ascii="Arial" w:eastAsia="Times New Roman" w:hAnsi="Arial" w:cs="Arial"/>
          <w:color w:val="716C6B"/>
          <w:sz w:val="39"/>
          <w:szCs w:val="39"/>
        </w:rPr>
      </w:pPr>
      <w:r w:rsidRPr="00E27A4E">
        <w:rPr>
          <w:rFonts w:ascii="Arial" w:eastAsia="Times New Roman" w:hAnsi="Arial" w:cs="Arial"/>
          <w:color w:val="716C6B"/>
          <w:sz w:val="39"/>
          <w:szCs w:val="39"/>
        </w:rPr>
        <w:t>Category 2</w:t>
      </w:r>
    </w:p>
    <w:p w:rsidR="00E27A4E" w:rsidRPr="00E27A4E" w:rsidRDefault="00E27A4E" w:rsidP="00E27A4E">
      <w:pPr>
        <w:shd w:val="clear" w:color="auto" w:fill="FFFFFF"/>
        <w:spacing w:after="360" w:line="408" w:lineRule="atLeast"/>
        <w:rPr>
          <w:rFonts w:ascii="Arial" w:eastAsia="Times New Roman" w:hAnsi="Arial" w:cs="Arial"/>
          <w:color w:val="342F2E"/>
          <w:sz w:val="24"/>
          <w:szCs w:val="24"/>
        </w:rPr>
      </w:pPr>
      <w:r w:rsidRPr="00E27A4E">
        <w:rPr>
          <w:rFonts w:ascii="Arial" w:eastAsia="Times New Roman" w:hAnsi="Arial" w:cs="Arial"/>
          <w:color w:val="342F2E"/>
          <w:sz w:val="24"/>
          <w:szCs w:val="24"/>
        </w:rPr>
        <w:t>Research involving the use of educational tests (cognitive, diagnostic, aptitude, achievement), survey procedures, interview procedures or observation of public behavior, unless: (i) 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w:t>
      </w:r>
    </w:p>
    <w:p w:rsidR="00E27A4E" w:rsidRPr="00E27A4E" w:rsidRDefault="00E27A4E" w:rsidP="00E27A4E">
      <w:pPr>
        <w:shd w:val="clear" w:color="auto" w:fill="FFFFFF"/>
        <w:spacing w:after="360" w:line="408" w:lineRule="atLeast"/>
        <w:rPr>
          <w:rFonts w:ascii="Arial" w:eastAsia="Times New Roman" w:hAnsi="Arial" w:cs="Arial"/>
          <w:color w:val="342F2E"/>
          <w:sz w:val="24"/>
          <w:szCs w:val="24"/>
        </w:rPr>
      </w:pPr>
      <w:r w:rsidRPr="00E27A4E">
        <w:rPr>
          <w:rFonts w:ascii="Arial" w:eastAsia="Times New Roman" w:hAnsi="Arial" w:cs="Arial"/>
          <w:color w:val="342F2E"/>
          <w:sz w:val="24"/>
          <w:szCs w:val="24"/>
        </w:rPr>
        <w:t xml:space="preserve">Note: The section of this category pertaining to standardized educational tests may be applied to research involving children. This category may also apply to research with children when the investigator observes public behavior but does not participate in that </w:t>
      </w:r>
      <w:r w:rsidRPr="00E27A4E">
        <w:rPr>
          <w:rFonts w:ascii="Arial" w:eastAsia="Times New Roman" w:hAnsi="Arial" w:cs="Arial"/>
          <w:color w:val="342F2E"/>
          <w:sz w:val="24"/>
          <w:szCs w:val="24"/>
        </w:rPr>
        <w:lastRenderedPageBreak/>
        <w:t>behavior or activity. This section is not applicable to survey or interview research involving children.</w:t>
      </w:r>
    </w:p>
    <w:p w:rsidR="00E27A4E" w:rsidRPr="00E27A4E" w:rsidRDefault="00E27A4E" w:rsidP="00E27A4E">
      <w:pPr>
        <w:shd w:val="clear" w:color="auto" w:fill="FFFFFF"/>
        <w:spacing w:after="360" w:line="408" w:lineRule="atLeast"/>
        <w:rPr>
          <w:rFonts w:ascii="Arial" w:eastAsia="Times New Roman" w:hAnsi="Arial" w:cs="Arial"/>
          <w:color w:val="342F2E"/>
          <w:sz w:val="24"/>
          <w:szCs w:val="24"/>
        </w:rPr>
      </w:pPr>
      <w:r w:rsidRPr="00E27A4E">
        <w:rPr>
          <w:rFonts w:ascii="Arial" w:eastAsia="Times New Roman" w:hAnsi="Arial" w:cs="Arial"/>
          <w:color w:val="342F2E"/>
          <w:sz w:val="24"/>
          <w:szCs w:val="24"/>
        </w:rPr>
        <w:t>Examples:</w:t>
      </w:r>
    </w:p>
    <w:p w:rsidR="00E27A4E" w:rsidRPr="00E27A4E" w:rsidRDefault="00E27A4E" w:rsidP="00E27A4E">
      <w:pPr>
        <w:numPr>
          <w:ilvl w:val="0"/>
          <w:numId w:val="2"/>
        </w:numPr>
        <w:shd w:val="clear" w:color="auto" w:fill="FFFFFF"/>
        <w:spacing w:before="100" w:beforeAutospacing="1" w:after="100" w:afterAutospacing="1" w:line="408" w:lineRule="atLeast"/>
        <w:ind w:left="300"/>
        <w:rPr>
          <w:rFonts w:ascii="Arial" w:eastAsia="Times New Roman" w:hAnsi="Arial" w:cs="Arial"/>
          <w:color w:val="342F2E"/>
          <w:sz w:val="24"/>
          <w:szCs w:val="24"/>
        </w:rPr>
      </w:pPr>
      <w:r w:rsidRPr="00E27A4E">
        <w:rPr>
          <w:rFonts w:ascii="Arial" w:eastAsia="Times New Roman" w:hAnsi="Arial" w:cs="Arial"/>
          <w:color w:val="342F2E"/>
          <w:sz w:val="24"/>
          <w:szCs w:val="24"/>
        </w:rPr>
        <w:t>Surveying teachers, nurses, or doctors about a technique or an outcome</w:t>
      </w:r>
    </w:p>
    <w:p w:rsidR="00E27A4E" w:rsidRPr="00E27A4E" w:rsidRDefault="00E27A4E" w:rsidP="00E27A4E">
      <w:pPr>
        <w:numPr>
          <w:ilvl w:val="0"/>
          <w:numId w:val="2"/>
        </w:numPr>
        <w:shd w:val="clear" w:color="auto" w:fill="FFFFFF"/>
        <w:spacing w:before="100" w:beforeAutospacing="1" w:after="100" w:afterAutospacing="1" w:line="408" w:lineRule="atLeast"/>
        <w:ind w:left="300"/>
        <w:rPr>
          <w:rFonts w:ascii="Arial" w:eastAsia="Times New Roman" w:hAnsi="Arial" w:cs="Arial"/>
          <w:color w:val="342F2E"/>
          <w:sz w:val="24"/>
          <w:szCs w:val="24"/>
        </w:rPr>
      </w:pPr>
      <w:r w:rsidRPr="00E27A4E">
        <w:rPr>
          <w:rFonts w:ascii="Arial" w:eastAsia="Times New Roman" w:hAnsi="Arial" w:cs="Arial"/>
          <w:color w:val="342F2E"/>
          <w:sz w:val="24"/>
          <w:szCs w:val="24"/>
        </w:rPr>
        <w:t>Interviewing managers about a management style or best practice</w:t>
      </w:r>
    </w:p>
    <w:p w:rsidR="00E27A4E" w:rsidRPr="00E27A4E" w:rsidRDefault="00E27A4E" w:rsidP="00E27A4E">
      <w:pPr>
        <w:numPr>
          <w:ilvl w:val="0"/>
          <w:numId w:val="2"/>
        </w:numPr>
        <w:shd w:val="clear" w:color="auto" w:fill="FFFFFF"/>
        <w:spacing w:before="100" w:beforeAutospacing="1" w:after="100" w:afterAutospacing="1" w:line="408" w:lineRule="atLeast"/>
        <w:ind w:left="300"/>
        <w:rPr>
          <w:rFonts w:ascii="Arial" w:eastAsia="Times New Roman" w:hAnsi="Arial" w:cs="Arial"/>
          <w:color w:val="342F2E"/>
          <w:sz w:val="24"/>
          <w:szCs w:val="24"/>
        </w:rPr>
      </w:pPr>
      <w:r w:rsidRPr="00E27A4E">
        <w:rPr>
          <w:rFonts w:ascii="Arial" w:eastAsia="Times New Roman" w:hAnsi="Arial" w:cs="Arial"/>
          <w:color w:val="342F2E"/>
          <w:sz w:val="24"/>
          <w:szCs w:val="24"/>
        </w:rPr>
        <w:t>Conducting a focus group about an experience or an opinion of a community program</w:t>
      </w:r>
    </w:p>
    <w:p w:rsidR="00E27A4E" w:rsidRPr="00E27A4E" w:rsidRDefault="00E27A4E" w:rsidP="00E27A4E">
      <w:pPr>
        <w:shd w:val="clear" w:color="auto" w:fill="FFFFFF"/>
        <w:spacing w:before="100" w:beforeAutospacing="1" w:after="100" w:afterAutospacing="1" w:line="240" w:lineRule="auto"/>
        <w:outlineLvl w:val="3"/>
        <w:rPr>
          <w:rFonts w:ascii="Arial" w:eastAsia="Times New Roman" w:hAnsi="Arial" w:cs="Arial"/>
          <w:color w:val="716C6B"/>
          <w:sz w:val="39"/>
          <w:szCs w:val="39"/>
        </w:rPr>
      </w:pPr>
      <w:r w:rsidRPr="00E27A4E">
        <w:rPr>
          <w:rFonts w:ascii="Arial" w:eastAsia="Times New Roman" w:hAnsi="Arial" w:cs="Arial"/>
          <w:color w:val="716C6B"/>
          <w:sz w:val="39"/>
          <w:szCs w:val="39"/>
        </w:rPr>
        <w:t>Category 3</w:t>
      </w:r>
    </w:p>
    <w:p w:rsidR="00E27A4E" w:rsidRPr="00E27A4E" w:rsidRDefault="00E27A4E" w:rsidP="00E27A4E">
      <w:pPr>
        <w:shd w:val="clear" w:color="auto" w:fill="FFFFFF"/>
        <w:spacing w:after="360" w:line="408" w:lineRule="atLeast"/>
        <w:rPr>
          <w:rFonts w:ascii="Arial" w:eastAsia="Times New Roman" w:hAnsi="Arial" w:cs="Arial"/>
          <w:color w:val="342F2E"/>
          <w:sz w:val="24"/>
          <w:szCs w:val="24"/>
        </w:rPr>
      </w:pPr>
      <w:r w:rsidRPr="00E27A4E">
        <w:rPr>
          <w:rFonts w:ascii="Arial" w:eastAsia="Times New Roman" w:hAnsi="Arial" w:cs="Arial"/>
          <w:color w:val="342F2E"/>
          <w:sz w:val="24"/>
          <w:szCs w:val="24"/>
        </w:rPr>
        <w:t>Research involving the use of educational tests (cognitive, diagnostic, aptitude, achievement), survey procedures, interview procedures, or observation of public behavior that is not exempt under paragraph (2) of this section, if: (i) the human subjects are elected or appointed public officials or candidates for public office; or (ii) Federal statute(s) require(s) without exception that the confidentiality of the personally identifiable information will be maintained throughout the research and thereafter.</w:t>
      </w:r>
    </w:p>
    <w:p w:rsidR="00E27A4E" w:rsidRPr="00E27A4E" w:rsidRDefault="00E27A4E" w:rsidP="00E27A4E">
      <w:pPr>
        <w:shd w:val="clear" w:color="auto" w:fill="FFFFFF"/>
        <w:spacing w:after="360" w:line="408" w:lineRule="atLeast"/>
        <w:rPr>
          <w:rFonts w:ascii="Arial" w:eastAsia="Times New Roman" w:hAnsi="Arial" w:cs="Arial"/>
          <w:color w:val="342F2E"/>
          <w:sz w:val="24"/>
          <w:szCs w:val="24"/>
        </w:rPr>
      </w:pPr>
      <w:r w:rsidRPr="00E27A4E">
        <w:rPr>
          <w:rFonts w:ascii="Arial" w:eastAsia="Times New Roman" w:hAnsi="Arial" w:cs="Arial"/>
          <w:color w:val="342F2E"/>
          <w:sz w:val="24"/>
          <w:szCs w:val="24"/>
        </w:rPr>
        <w:t>Example:</w:t>
      </w:r>
    </w:p>
    <w:p w:rsidR="00E27A4E" w:rsidRPr="00E27A4E" w:rsidRDefault="00E27A4E" w:rsidP="00E27A4E">
      <w:pPr>
        <w:numPr>
          <w:ilvl w:val="0"/>
          <w:numId w:val="3"/>
        </w:numPr>
        <w:shd w:val="clear" w:color="auto" w:fill="FFFFFF"/>
        <w:spacing w:before="100" w:beforeAutospacing="1" w:after="100" w:afterAutospacing="1" w:line="408" w:lineRule="atLeast"/>
        <w:ind w:left="300"/>
        <w:rPr>
          <w:rFonts w:ascii="Arial" w:eastAsia="Times New Roman" w:hAnsi="Arial" w:cs="Arial"/>
          <w:color w:val="342F2E"/>
          <w:sz w:val="24"/>
          <w:szCs w:val="24"/>
        </w:rPr>
      </w:pPr>
      <w:r w:rsidRPr="00E27A4E">
        <w:rPr>
          <w:rFonts w:ascii="Arial" w:eastAsia="Times New Roman" w:hAnsi="Arial" w:cs="Arial"/>
          <w:color w:val="342F2E"/>
          <w:sz w:val="24"/>
          <w:szCs w:val="24"/>
        </w:rPr>
        <w:t>Interviewing public officials about a local or global issue.</w:t>
      </w:r>
    </w:p>
    <w:p w:rsidR="00E27A4E" w:rsidRPr="00E27A4E" w:rsidRDefault="00E27A4E" w:rsidP="00E27A4E">
      <w:pPr>
        <w:shd w:val="clear" w:color="auto" w:fill="FFFFFF"/>
        <w:spacing w:before="100" w:beforeAutospacing="1" w:after="100" w:afterAutospacing="1" w:line="240" w:lineRule="auto"/>
        <w:outlineLvl w:val="3"/>
        <w:rPr>
          <w:rFonts w:ascii="Arial" w:eastAsia="Times New Roman" w:hAnsi="Arial" w:cs="Arial"/>
          <w:color w:val="716C6B"/>
          <w:sz w:val="39"/>
          <w:szCs w:val="39"/>
        </w:rPr>
      </w:pPr>
      <w:r w:rsidRPr="00E27A4E">
        <w:rPr>
          <w:rFonts w:ascii="Arial" w:eastAsia="Times New Roman" w:hAnsi="Arial" w:cs="Arial"/>
          <w:color w:val="716C6B"/>
          <w:sz w:val="39"/>
          <w:szCs w:val="39"/>
        </w:rPr>
        <w:t>Category 4</w:t>
      </w:r>
    </w:p>
    <w:p w:rsidR="00E27A4E" w:rsidRPr="00E27A4E" w:rsidRDefault="00E27A4E" w:rsidP="00E27A4E">
      <w:pPr>
        <w:shd w:val="clear" w:color="auto" w:fill="FFFFFF"/>
        <w:spacing w:after="360" w:line="408" w:lineRule="atLeast"/>
        <w:rPr>
          <w:rFonts w:ascii="Arial" w:eastAsia="Times New Roman" w:hAnsi="Arial" w:cs="Arial"/>
          <w:color w:val="342F2E"/>
          <w:sz w:val="24"/>
          <w:szCs w:val="24"/>
        </w:rPr>
      </w:pPr>
      <w:r w:rsidRPr="00E27A4E">
        <w:rPr>
          <w:rFonts w:ascii="Arial" w:eastAsia="Times New Roman" w:hAnsi="Arial" w:cs="Arial"/>
          <w:color w:val="342F2E"/>
          <w:sz w:val="24"/>
          <w:szCs w:val="24"/>
        </w:rPr>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rsidR="00E27A4E" w:rsidRPr="00E27A4E" w:rsidRDefault="00E27A4E" w:rsidP="00E27A4E">
      <w:pPr>
        <w:shd w:val="clear" w:color="auto" w:fill="FFFFFF"/>
        <w:spacing w:after="360" w:line="408" w:lineRule="atLeast"/>
        <w:rPr>
          <w:rFonts w:ascii="Arial" w:eastAsia="Times New Roman" w:hAnsi="Arial" w:cs="Arial"/>
          <w:color w:val="342F2E"/>
          <w:sz w:val="24"/>
          <w:szCs w:val="24"/>
        </w:rPr>
      </w:pPr>
      <w:r w:rsidRPr="00E27A4E">
        <w:rPr>
          <w:rFonts w:ascii="Arial" w:eastAsia="Times New Roman" w:hAnsi="Arial" w:cs="Arial"/>
          <w:color w:val="342F2E"/>
          <w:sz w:val="24"/>
          <w:szCs w:val="24"/>
        </w:rPr>
        <w:t>*Note: "Existing" means existing before the research is proposed to the institutional review board to determine whether the research is exempt.</w:t>
      </w:r>
    </w:p>
    <w:p w:rsidR="00E27A4E" w:rsidRPr="00E27A4E" w:rsidRDefault="00E27A4E" w:rsidP="00E27A4E">
      <w:pPr>
        <w:shd w:val="clear" w:color="auto" w:fill="FFFFFF"/>
        <w:spacing w:after="360" w:line="408" w:lineRule="atLeast"/>
        <w:rPr>
          <w:rFonts w:ascii="Arial" w:eastAsia="Times New Roman" w:hAnsi="Arial" w:cs="Arial"/>
          <w:color w:val="342F2E"/>
          <w:sz w:val="24"/>
          <w:szCs w:val="24"/>
        </w:rPr>
      </w:pPr>
      <w:r w:rsidRPr="00E27A4E">
        <w:rPr>
          <w:rFonts w:ascii="Arial" w:eastAsia="Times New Roman" w:hAnsi="Arial" w:cs="Arial"/>
          <w:color w:val="342F2E"/>
          <w:sz w:val="24"/>
          <w:szCs w:val="24"/>
        </w:rPr>
        <w:lastRenderedPageBreak/>
        <w:t>Example:</w:t>
      </w:r>
    </w:p>
    <w:p w:rsidR="00E27A4E" w:rsidRPr="00E27A4E" w:rsidRDefault="00E27A4E" w:rsidP="00E27A4E">
      <w:pPr>
        <w:numPr>
          <w:ilvl w:val="0"/>
          <w:numId w:val="4"/>
        </w:numPr>
        <w:shd w:val="clear" w:color="auto" w:fill="FFFFFF"/>
        <w:spacing w:before="100" w:beforeAutospacing="1" w:after="100" w:afterAutospacing="1" w:line="408" w:lineRule="atLeast"/>
        <w:ind w:left="300"/>
        <w:rPr>
          <w:rFonts w:ascii="Arial" w:eastAsia="Times New Roman" w:hAnsi="Arial" w:cs="Arial"/>
          <w:color w:val="342F2E"/>
          <w:sz w:val="24"/>
          <w:szCs w:val="24"/>
        </w:rPr>
      </w:pPr>
      <w:r w:rsidRPr="00E27A4E">
        <w:rPr>
          <w:rFonts w:ascii="Arial" w:eastAsia="Times New Roman" w:hAnsi="Arial" w:cs="Arial"/>
          <w:color w:val="342F2E"/>
          <w:sz w:val="24"/>
          <w:szCs w:val="24"/>
        </w:rPr>
        <w:t>Analyzing existing tissue samples or data set which are recorded by the investigator without identifiers</w:t>
      </w:r>
    </w:p>
    <w:p w:rsidR="00E27A4E" w:rsidRPr="00E27A4E" w:rsidRDefault="00E27A4E" w:rsidP="00E27A4E">
      <w:pPr>
        <w:shd w:val="clear" w:color="auto" w:fill="FFFFFF"/>
        <w:spacing w:before="100" w:beforeAutospacing="1" w:after="100" w:afterAutospacing="1" w:line="240" w:lineRule="auto"/>
        <w:outlineLvl w:val="3"/>
        <w:rPr>
          <w:rFonts w:ascii="Arial" w:eastAsia="Times New Roman" w:hAnsi="Arial" w:cs="Arial"/>
          <w:color w:val="716C6B"/>
          <w:sz w:val="39"/>
          <w:szCs w:val="39"/>
        </w:rPr>
      </w:pPr>
      <w:r w:rsidRPr="00E27A4E">
        <w:rPr>
          <w:rFonts w:ascii="Arial" w:eastAsia="Times New Roman" w:hAnsi="Arial" w:cs="Arial"/>
          <w:color w:val="716C6B"/>
          <w:sz w:val="39"/>
          <w:szCs w:val="39"/>
        </w:rPr>
        <w:t>Category 5</w:t>
      </w:r>
    </w:p>
    <w:p w:rsidR="00E27A4E" w:rsidRPr="00E27A4E" w:rsidRDefault="00E27A4E" w:rsidP="00E27A4E">
      <w:pPr>
        <w:shd w:val="clear" w:color="auto" w:fill="FFFFFF"/>
        <w:spacing w:after="360" w:line="408" w:lineRule="atLeast"/>
        <w:rPr>
          <w:rFonts w:ascii="Arial" w:eastAsia="Times New Roman" w:hAnsi="Arial" w:cs="Arial"/>
          <w:color w:val="342F2E"/>
          <w:sz w:val="24"/>
          <w:szCs w:val="24"/>
        </w:rPr>
      </w:pPr>
      <w:r w:rsidRPr="00E27A4E">
        <w:rPr>
          <w:rFonts w:ascii="Arial" w:eastAsia="Times New Roman" w:hAnsi="Arial" w:cs="Arial"/>
          <w:color w:val="342F2E"/>
          <w:sz w:val="24"/>
          <w:szCs w:val="24"/>
        </w:rPr>
        <w:t>Research and demonstration projects which are conducted by or subject to the approval of department or agency heads, and which are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 </w:t>
      </w:r>
    </w:p>
    <w:p w:rsidR="00E27A4E" w:rsidRPr="00E27A4E" w:rsidRDefault="00E27A4E" w:rsidP="00E27A4E">
      <w:pPr>
        <w:shd w:val="clear" w:color="auto" w:fill="FFFFFF"/>
        <w:spacing w:after="360" w:line="408" w:lineRule="atLeast"/>
        <w:rPr>
          <w:rFonts w:ascii="Arial" w:eastAsia="Times New Roman" w:hAnsi="Arial" w:cs="Arial"/>
          <w:color w:val="342F2E"/>
          <w:sz w:val="24"/>
          <w:szCs w:val="24"/>
        </w:rPr>
      </w:pPr>
      <w:r w:rsidRPr="00E27A4E">
        <w:rPr>
          <w:rFonts w:ascii="Arial" w:eastAsia="Times New Roman" w:hAnsi="Arial" w:cs="Arial"/>
          <w:color w:val="342F2E"/>
          <w:sz w:val="24"/>
          <w:szCs w:val="24"/>
        </w:rPr>
        <w:t>See </w:t>
      </w:r>
      <w:hyperlink r:id="rId5" w:history="1">
        <w:r w:rsidRPr="00E27A4E">
          <w:rPr>
            <w:rFonts w:ascii="Arial" w:eastAsia="Times New Roman" w:hAnsi="Arial" w:cs="Arial"/>
            <w:color w:val="4E2A84"/>
            <w:sz w:val="24"/>
            <w:szCs w:val="24"/>
          </w:rPr>
          <w:t>OHRP's guidance regarding this category</w:t>
        </w:r>
      </w:hyperlink>
    </w:p>
    <w:p w:rsidR="00E27A4E" w:rsidRPr="00E27A4E" w:rsidRDefault="00E27A4E" w:rsidP="00E27A4E">
      <w:pPr>
        <w:shd w:val="clear" w:color="auto" w:fill="FFFFFF"/>
        <w:spacing w:before="100" w:beforeAutospacing="1" w:after="100" w:afterAutospacing="1" w:line="240" w:lineRule="auto"/>
        <w:outlineLvl w:val="3"/>
        <w:rPr>
          <w:rFonts w:ascii="Arial" w:eastAsia="Times New Roman" w:hAnsi="Arial" w:cs="Arial"/>
          <w:color w:val="716C6B"/>
          <w:sz w:val="39"/>
          <w:szCs w:val="39"/>
        </w:rPr>
      </w:pPr>
      <w:r w:rsidRPr="00E27A4E">
        <w:rPr>
          <w:rFonts w:ascii="Arial" w:eastAsia="Times New Roman" w:hAnsi="Arial" w:cs="Arial"/>
          <w:color w:val="716C6B"/>
          <w:sz w:val="39"/>
          <w:szCs w:val="39"/>
        </w:rPr>
        <w:t>Category 6</w:t>
      </w:r>
    </w:p>
    <w:p w:rsidR="00E27A4E" w:rsidRPr="00E27A4E" w:rsidRDefault="00E27A4E" w:rsidP="00E27A4E">
      <w:pPr>
        <w:shd w:val="clear" w:color="auto" w:fill="FFFFFF"/>
        <w:spacing w:after="360" w:line="408" w:lineRule="atLeast"/>
        <w:rPr>
          <w:rFonts w:ascii="Arial" w:eastAsia="Times New Roman" w:hAnsi="Arial" w:cs="Arial"/>
          <w:color w:val="342F2E"/>
          <w:sz w:val="24"/>
          <w:szCs w:val="24"/>
        </w:rPr>
      </w:pPr>
      <w:r w:rsidRPr="00E27A4E">
        <w:rPr>
          <w:rFonts w:ascii="Arial" w:eastAsia="Times New Roman" w:hAnsi="Arial" w:cs="Arial"/>
          <w:color w:val="342F2E"/>
          <w:sz w:val="24"/>
          <w:szCs w:val="24"/>
        </w:rPr>
        <w:t>(See also </w:t>
      </w:r>
      <w:hyperlink r:id="rId6" w:anchor="FDA" w:history="1">
        <w:r w:rsidRPr="00E27A4E">
          <w:rPr>
            <w:rFonts w:ascii="Arial" w:eastAsia="Times New Roman" w:hAnsi="Arial" w:cs="Arial"/>
            <w:color w:val="4E2A84"/>
            <w:sz w:val="24"/>
            <w:szCs w:val="24"/>
          </w:rPr>
          <w:t>FDA’s Exempt Category</w:t>
        </w:r>
      </w:hyperlink>
      <w:r w:rsidRPr="00E27A4E">
        <w:rPr>
          <w:rFonts w:ascii="Arial" w:eastAsia="Times New Roman" w:hAnsi="Arial" w:cs="Arial"/>
          <w:color w:val="342F2E"/>
          <w:sz w:val="24"/>
          <w:szCs w:val="24"/>
        </w:rPr>
        <w:t>) 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E27A4E" w:rsidRPr="00E27A4E" w:rsidRDefault="00E27A4E" w:rsidP="00E27A4E">
      <w:pPr>
        <w:shd w:val="clear" w:color="auto" w:fill="FFFFFF"/>
        <w:spacing w:before="100" w:beforeAutospacing="1" w:after="100" w:afterAutospacing="1" w:line="240" w:lineRule="auto"/>
        <w:outlineLvl w:val="3"/>
        <w:rPr>
          <w:rFonts w:ascii="Arial" w:eastAsia="Times New Roman" w:hAnsi="Arial" w:cs="Arial"/>
          <w:color w:val="716C6B"/>
          <w:sz w:val="39"/>
          <w:szCs w:val="39"/>
        </w:rPr>
      </w:pPr>
      <w:bookmarkStart w:id="0" w:name="FDA"/>
      <w:bookmarkEnd w:id="0"/>
      <w:r w:rsidRPr="00E27A4E">
        <w:rPr>
          <w:rFonts w:ascii="Arial" w:eastAsia="Times New Roman" w:hAnsi="Arial" w:cs="Arial"/>
          <w:color w:val="716C6B"/>
          <w:sz w:val="39"/>
          <w:szCs w:val="39"/>
        </w:rPr>
        <w:t>FDA Exempt Categories 21 CFR 56.104</w:t>
      </w:r>
    </w:p>
    <w:p w:rsidR="00E27A4E" w:rsidRPr="00E27A4E" w:rsidRDefault="00E27A4E" w:rsidP="00E27A4E">
      <w:pPr>
        <w:numPr>
          <w:ilvl w:val="0"/>
          <w:numId w:val="5"/>
        </w:numPr>
        <w:shd w:val="clear" w:color="auto" w:fill="FFFFFF"/>
        <w:spacing w:before="100" w:beforeAutospacing="1" w:after="100" w:afterAutospacing="1" w:line="408" w:lineRule="atLeast"/>
        <w:ind w:left="0"/>
        <w:rPr>
          <w:rFonts w:ascii="Arial" w:eastAsia="Times New Roman" w:hAnsi="Arial" w:cs="Arial"/>
          <w:color w:val="342F2E"/>
          <w:sz w:val="24"/>
          <w:szCs w:val="24"/>
        </w:rPr>
      </w:pPr>
      <w:r w:rsidRPr="00E27A4E">
        <w:rPr>
          <w:rFonts w:ascii="Arial" w:eastAsia="Times New Roman" w:hAnsi="Arial" w:cs="Arial"/>
          <w:color w:val="342F2E"/>
          <w:sz w:val="24"/>
          <w:szCs w:val="24"/>
        </w:rPr>
        <w:t>Any investigation which commenced before July 27, 1981 and was subject to requirements for IRB review under FDA regulations before that date, provided that the investigation remains subject to review of an IRB which meets the FDA requirements in effect before July 27, 1981.</w:t>
      </w:r>
    </w:p>
    <w:p w:rsidR="00E27A4E" w:rsidRPr="00E27A4E" w:rsidRDefault="00E27A4E" w:rsidP="00E27A4E">
      <w:pPr>
        <w:numPr>
          <w:ilvl w:val="0"/>
          <w:numId w:val="5"/>
        </w:numPr>
        <w:shd w:val="clear" w:color="auto" w:fill="FFFFFF"/>
        <w:spacing w:before="100" w:beforeAutospacing="1" w:after="100" w:afterAutospacing="1" w:line="408" w:lineRule="atLeast"/>
        <w:ind w:left="0"/>
        <w:rPr>
          <w:rFonts w:ascii="Arial" w:eastAsia="Times New Roman" w:hAnsi="Arial" w:cs="Arial"/>
          <w:color w:val="342F2E"/>
          <w:sz w:val="24"/>
          <w:szCs w:val="24"/>
        </w:rPr>
      </w:pPr>
      <w:r w:rsidRPr="00E27A4E">
        <w:rPr>
          <w:rFonts w:ascii="Arial" w:eastAsia="Times New Roman" w:hAnsi="Arial" w:cs="Arial"/>
          <w:color w:val="342F2E"/>
          <w:sz w:val="24"/>
          <w:szCs w:val="24"/>
        </w:rPr>
        <w:lastRenderedPageBreak/>
        <w:t>Any investigation commenced before July 27, 1981 and was not otherwise subject to requirements for IRB review under Food and Drug Administration regulations before that date.</w:t>
      </w:r>
    </w:p>
    <w:p w:rsidR="00E27A4E" w:rsidRPr="00E27A4E" w:rsidRDefault="00E27A4E" w:rsidP="00E27A4E">
      <w:pPr>
        <w:numPr>
          <w:ilvl w:val="0"/>
          <w:numId w:val="5"/>
        </w:numPr>
        <w:shd w:val="clear" w:color="auto" w:fill="FFFFFF"/>
        <w:spacing w:before="100" w:beforeAutospacing="1" w:after="100" w:afterAutospacing="1" w:line="408" w:lineRule="atLeast"/>
        <w:ind w:left="0"/>
        <w:rPr>
          <w:rFonts w:ascii="Arial" w:eastAsia="Times New Roman" w:hAnsi="Arial" w:cs="Arial"/>
          <w:color w:val="342F2E"/>
          <w:sz w:val="24"/>
          <w:szCs w:val="24"/>
        </w:rPr>
      </w:pPr>
      <w:r w:rsidRPr="00E27A4E">
        <w:rPr>
          <w:rFonts w:ascii="Arial" w:eastAsia="Times New Roman" w:hAnsi="Arial" w:cs="Arial"/>
          <w:color w:val="342F2E"/>
          <w:sz w:val="24"/>
          <w:szCs w:val="24"/>
        </w:rPr>
        <w:t>Emergency use of a test article, provided that such emergency use is reported to the IRB within 5 working days. Any subsequent use of the test article at the institution is subject to IRB review.</w:t>
      </w:r>
    </w:p>
    <w:p w:rsidR="00E27A4E" w:rsidRPr="00E27A4E" w:rsidRDefault="00E27A4E" w:rsidP="00E27A4E">
      <w:pPr>
        <w:numPr>
          <w:ilvl w:val="0"/>
          <w:numId w:val="5"/>
        </w:numPr>
        <w:shd w:val="clear" w:color="auto" w:fill="FFFFFF"/>
        <w:spacing w:before="100" w:beforeAutospacing="1" w:after="100" w:afterAutospacing="1" w:line="408" w:lineRule="atLeast"/>
        <w:ind w:left="0"/>
        <w:rPr>
          <w:rFonts w:ascii="Arial" w:eastAsia="Times New Roman" w:hAnsi="Arial" w:cs="Arial"/>
          <w:color w:val="342F2E"/>
          <w:sz w:val="24"/>
          <w:szCs w:val="24"/>
        </w:rPr>
      </w:pPr>
      <w:r w:rsidRPr="00E27A4E">
        <w:rPr>
          <w:rFonts w:ascii="Arial" w:eastAsia="Times New Roman" w:hAnsi="Arial" w:cs="Arial"/>
          <w:color w:val="342F2E"/>
          <w:sz w:val="24"/>
          <w:szCs w:val="24"/>
        </w:rPr>
        <w:t>Taste and food quality evaluations and consumer acceptance studies, if wholesome foods without additives are consumed or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B5799B" w:rsidRDefault="00E27A4E">
      <w:bookmarkStart w:id="1" w:name="_GoBack"/>
      <w:bookmarkEnd w:id="1"/>
    </w:p>
    <w:sectPr w:rsidR="00B5799B" w:rsidSect="004161C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36B95"/>
    <w:multiLevelType w:val="multilevel"/>
    <w:tmpl w:val="EF0A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87FFD"/>
    <w:multiLevelType w:val="multilevel"/>
    <w:tmpl w:val="AF66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2B365E"/>
    <w:multiLevelType w:val="multilevel"/>
    <w:tmpl w:val="0072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0D26A6"/>
    <w:multiLevelType w:val="multilevel"/>
    <w:tmpl w:val="DE30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506F8B"/>
    <w:multiLevelType w:val="multilevel"/>
    <w:tmpl w:val="074658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4E"/>
    <w:rsid w:val="003D6E7E"/>
    <w:rsid w:val="004161C6"/>
    <w:rsid w:val="00784C0C"/>
    <w:rsid w:val="00965E40"/>
    <w:rsid w:val="00977DE6"/>
    <w:rsid w:val="00E2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850A3-9208-4406-AD55-8E6B017E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671173">
      <w:bodyDiv w:val="1"/>
      <w:marLeft w:val="0"/>
      <w:marRight w:val="0"/>
      <w:marTop w:val="0"/>
      <w:marBottom w:val="0"/>
      <w:divBdr>
        <w:top w:val="none" w:sz="0" w:space="0" w:color="auto"/>
        <w:left w:val="none" w:sz="0" w:space="0" w:color="auto"/>
        <w:bottom w:val="none" w:sz="0" w:space="0" w:color="auto"/>
        <w:right w:val="none" w:sz="0" w:space="0" w:color="auto"/>
      </w:divBdr>
      <w:divsChild>
        <w:div w:id="932470472">
          <w:marLeft w:val="0"/>
          <w:marRight w:val="0"/>
          <w:marTop w:val="0"/>
          <w:marBottom w:val="0"/>
          <w:divBdr>
            <w:top w:val="none" w:sz="0" w:space="0" w:color="auto"/>
            <w:left w:val="none" w:sz="0" w:space="0" w:color="auto"/>
            <w:bottom w:val="none" w:sz="0" w:space="0" w:color="auto"/>
            <w:right w:val="none" w:sz="0" w:space="0" w:color="auto"/>
          </w:divBdr>
          <w:divsChild>
            <w:div w:id="1784112977">
              <w:marLeft w:val="0"/>
              <w:marRight w:val="0"/>
              <w:marTop w:val="0"/>
              <w:marBottom w:val="300"/>
              <w:divBdr>
                <w:top w:val="none" w:sz="0" w:space="0" w:color="auto"/>
                <w:left w:val="none" w:sz="0" w:space="0" w:color="auto"/>
                <w:bottom w:val="none" w:sz="0" w:space="0" w:color="auto"/>
                <w:right w:val="none" w:sz="0" w:space="0" w:color="auto"/>
              </w:divBdr>
              <w:divsChild>
                <w:div w:id="1429155729">
                  <w:marLeft w:val="0"/>
                  <w:marRight w:val="0"/>
                  <w:marTop w:val="0"/>
                  <w:marBottom w:val="0"/>
                  <w:divBdr>
                    <w:top w:val="none" w:sz="0" w:space="0" w:color="auto"/>
                    <w:left w:val="none" w:sz="0" w:space="0" w:color="auto"/>
                    <w:bottom w:val="none" w:sz="0" w:space="0" w:color="auto"/>
                    <w:right w:val="none" w:sz="0" w:space="0" w:color="auto"/>
                  </w:divBdr>
                  <w:divsChild>
                    <w:div w:id="2087917271">
                      <w:marLeft w:val="0"/>
                      <w:marRight w:val="0"/>
                      <w:marTop w:val="0"/>
                      <w:marBottom w:val="0"/>
                      <w:divBdr>
                        <w:top w:val="none" w:sz="0" w:space="0" w:color="auto"/>
                        <w:left w:val="none" w:sz="0" w:space="0" w:color="auto"/>
                        <w:bottom w:val="none" w:sz="0" w:space="0" w:color="auto"/>
                        <w:right w:val="none" w:sz="0" w:space="0" w:color="auto"/>
                      </w:divBdr>
                      <w:divsChild>
                        <w:div w:id="1289161261">
                          <w:marLeft w:val="0"/>
                          <w:marRight w:val="0"/>
                          <w:marTop w:val="0"/>
                          <w:marBottom w:val="0"/>
                          <w:divBdr>
                            <w:top w:val="none" w:sz="0" w:space="0" w:color="auto"/>
                            <w:left w:val="none" w:sz="0" w:space="0" w:color="auto"/>
                            <w:bottom w:val="none" w:sz="0" w:space="0" w:color="auto"/>
                            <w:right w:val="none" w:sz="0" w:space="0" w:color="auto"/>
                          </w:divBdr>
                          <w:divsChild>
                            <w:div w:id="291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rb.northwestern.edu/process/new-study/reviews/exempt-categories-examples" TargetMode="External"/><Relationship Id="rId5" Type="http://schemas.openxmlformats.org/officeDocument/2006/relationships/hyperlink" Target="http://www.hhs.gov/ohrp/policy/exmpt-pb.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Figueroa</dc:creator>
  <cp:keywords/>
  <dc:description/>
  <cp:lastModifiedBy>Wanda Figueroa</cp:lastModifiedBy>
  <cp:revision>1</cp:revision>
  <dcterms:created xsi:type="dcterms:W3CDTF">2017-02-27T20:02:00Z</dcterms:created>
  <dcterms:modified xsi:type="dcterms:W3CDTF">2017-02-27T20:04:00Z</dcterms:modified>
</cp:coreProperties>
</file>