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4E" w:rsidRPr="00E27A4E" w:rsidRDefault="00E27A4E" w:rsidP="00E27A4E">
      <w:pPr>
        <w:spacing w:before="100" w:beforeAutospacing="1" w:after="100" w:afterAutospacing="1" w:line="288" w:lineRule="atLeast"/>
        <w:outlineLvl w:val="1"/>
        <w:rPr>
          <w:rFonts w:ascii="Tahoma" w:eastAsia="Times New Roman" w:hAnsi="Tahoma" w:cs="Tahoma"/>
          <w:color w:val="4E2A84"/>
          <w:sz w:val="69"/>
          <w:szCs w:val="69"/>
        </w:rPr>
      </w:pPr>
      <w:r w:rsidRPr="00E27A4E">
        <w:rPr>
          <w:rFonts w:ascii="Tahoma" w:eastAsia="Times New Roman" w:hAnsi="Tahoma" w:cs="Tahoma"/>
          <w:color w:val="4E2A84"/>
          <w:sz w:val="69"/>
          <w:szCs w:val="69"/>
        </w:rPr>
        <w:t>Exempt Review</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OHRP Exempt Categories 45 CFR 46.101(B) - (HRP-312)</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Category 1</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Examples:</w:t>
      </w:r>
    </w:p>
    <w:p w:rsidR="00E27A4E" w:rsidRPr="00E27A4E" w:rsidRDefault="00E27A4E" w:rsidP="00E27A4E">
      <w:pPr>
        <w:numPr>
          <w:ilvl w:val="0"/>
          <w:numId w:val="1"/>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Evaluating the use of accepted or revised standardized tests</w:t>
      </w:r>
    </w:p>
    <w:p w:rsidR="00E27A4E" w:rsidRPr="00E27A4E" w:rsidRDefault="00E27A4E" w:rsidP="00E27A4E">
      <w:pPr>
        <w:numPr>
          <w:ilvl w:val="0"/>
          <w:numId w:val="1"/>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Testing or comparing a curriculum or lesson</w:t>
      </w:r>
    </w:p>
    <w:p w:rsidR="00E27A4E" w:rsidRPr="00E27A4E" w:rsidRDefault="00E27A4E" w:rsidP="00E27A4E">
      <w:pPr>
        <w:numPr>
          <w:ilvl w:val="0"/>
          <w:numId w:val="1"/>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A program evaluation of pharmacy continuing education</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Category 2</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 xml:space="preserve">Note: The section of this category pertaining to standardized educational tests may be applied to research involving children. This category may also apply to research with children when the investigator observes public behavior but does not participate in that </w:t>
      </w:r>
      <w:r w:rsidRPr="00E27A4E">
        <w:rPr>
          <w:rFonts w:ascii="Arial" w:eastAsia="Times New Roman" w:hAnsi="Arial" w:cs="Arial"/>
          <w:color w:val="342F2E"/>
          <w:sz w:val="24"/>
          <w:szCs w:val="24"/>
        </w:rPr>
        <w:lastRenderedPageBreak/>
        <w:t>behavior or activity. This section is not applicable to survey or interview research involving children.</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Examples:</w:t>
      </w:r>
    </w:p>
    <w:p w:rsidR="00E27A4E" w:rsidRPr="00E27A4E" w:rsidRDefault="00E27A4E" w:rsidP="00E27A4E">
      <w:pPr>
        <w:numPr>
          <w:ilvl w:val="0"/>
          <w:numId w:val="2"/>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Surveying teachers, nurses, or doctors about a technique or an outcome</w:t>
      </w:r>
    </w:p>
    <w:p w:rsidR="00E27A4E" w:rsidRPr="00E27A4E" w:rsidRDefault="00E27A4E" w:rsidP="00E27A4E">
      <w:pPr>
        <w:numPr>
          <w:ilvl w:val="0"/>
          <w:numId w:val="2"/>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Interviewing managers about a management style or best practice</w:t>
      </w:r>
    </w:p>
    <w:p w:rsidR="00E27A4E" w:rsidRPr="00E27A4E" w:rsidRDefault="00E27A4E" w:rsidP="00E27A4E">
      <w:pPr>
        <w:numPr>
          <w:ilvl w:val="0"/>
          <w:numId w:val="2"/>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Conducting a focus group about an experience or an opinion of a community program</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Category 3</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Research involving the use of educational tests (cognitive, diagnostic, aptitude, achievement), survey procedures, interview procedures, or observation of public behavior that is not exempt under paragraph (2) of this section, if: (i)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Example:</w:t>
      </w:r>
    </w:p>
    <w:p w:rsidR="00E27A4E" w:rsidRPr="00E27A4E" w:rsidRDefault="00E27A4E" w:rsidP="00E27A4E">
      <w:pPr>
        <w:numPr>
          <w:ilvl w:val="0"/>
          <w:numId w:val="3"/>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Interviewing public officials about a local or global issue.</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Category 4</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*Note: "Existing" means existing before the research is proposed to the institutional review board to determine whether the research is exempt.</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lastRenderedPageBreak/>
        <w:t>Example:</w:t>
      </w:r>
    </w:p>
    <w:p w:rsidR="00E27A4E" w:rsidRPr="00E27A4E" w:rsidRDefault="00E27A4E" w:rsidP="00E27A4E">
      <w:pPr>
        <w:numPr>
          <w:ilvl w:val="0"/>
          <w:numId w:val="4"/>
        </w:numPr>
        <w:shd w:val="clear" w:color="auto" w:fill="FFFFFF"/>
        <w:spacing w:before="100" w:beforeAutospacing="1" w:after="100" w:afterAutospacing="1" w:line="408" w:lineRule="atLeast"/>
        <w:ind w:left="300"/>
        <w:rPr>
          <w:rFonts w:ascii="Arial" w:eastAsia="Times New Roman" w:hAnsi="Arial" w:cs="Arial"/>
          <w:color w:val="342F2E"/>
          <w:sz w:val="24"/>
          <w:szCs w:val="24"/>
        </w:rPr>
      </w:pPr>
      <w:r w:rsidRPr="00E27A4E">
        <w:rPr>
          <w:rFonts w:ascii="Arial" w:eastAsia="Times New Roman" w:hAnsi="Arial" w:cs="Arial"/>
          <w:color w:val="342F2E"/>
          <w:sz w:val="24"/>
          <w:szCs w:val="24"/>
        </w:rPr>
        <w:t>Analyzing existing tissue samples or data set which are recorded by the investigator without identifiers</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Category 5</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See </w:t>
      </w:r>
      <w:hyperlink r:id="rId5" w:history="1">
        <w:r w:rsidRPr="00E27A4E">
          <w:rPr>
            <w:rFonts w:ascii="Arial" w:eastAsia="Times New Roman" w:hAnsi="Arial" w:cs="Arial"/>
            <w:color w:val="4E2A84"/>
            <w:sz w:val="24"/>
            <w:szCs w:val="24"/>
          </w:rPr>
          <w:t>OHRP's guidance regarding this category</w:t>
        </w:r>
      </w:hyperlink>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r w:rsidRPr="00E27A4E">
        <w:rPr>
          <w:rFonts w:ascii="Arial" w:eastAsia="Times New Roman" w:hAnsi="Arial" w:cs="Arial"/>
          <w:color w:val="716C6B"/>
          <w:sz w:val="39"/>
          <w:szCs w:val="39"/>
        </w:rPr>
        <w:t>Category 6</w:t>
      </w:r>
    </w:p>
    <w:p w:rsidR="00E27A4E" w:rsidRPr="00E27A4E" w:rsidRDefault="00E27A4E" w:rsidP="00E27A4E">
      <w:pPr>
        <w:shd w:val="clear" w:color="auto" w:fill="FFFFFF"/>
        <w:spacing w:after="360" w:line="408" w:lineRule="atLeast"/>
        <w:rPr>
          <w:rFonts w:ascii="Arial" w:eastAsia="Times New Roman" w:hAnsi="Arial" w:cs="Arial"/>
          <w:color w:val="342F2E"/>
          <w:sz w:val="24"/>
          <w:szCs w:val="24"/>
        </w:rPr>
      </w:pPr>
      <w:r w:rsidRPr="00E27A4E">
        <w:rPr>
          <w:rFonts w:ascii="Arial" w:eastAsia="Times New Roman" w:hAnsi="Arial" w:cs="Arial"/>
          <w:color w:val="342F2E"/>
          <w:sz w:val="24"/>
          <w:szCs w:val="24"/>
        </w:rPr>
        <w:t>(See also </w:t>
      </w:r>
      <w:hyperlink r:id="rId6" w:anchor="FDA" w:history="1">
        <w:r w:rsidRPr="00E27A4E">
          <w:rPr>
            <w:rFonts w:ascii="Arial" w:eastAsia="Times New Roman" w:hAnsi="Arial" w:cs="Arial"/>
            <w:color w:val="4E2A84"/>
            <w:sz w:val="24"/>
            <w:szCs w:val="24"/>
          </w:rPr>
          <w:t>FDA’s Exempt Category</w:t>
        </w:r>
      </w:hyperlink>
      <w:r w:rsidRPr="00E27A4E">
        <w:rPr>
          <w:rFonts w:ascii="Arial" w:eastAsia="Times New Roman" w:hAnsi="Arial" w:cs="Arial"/>
          <w:color w:val="342F2E"/>
          <w:sz w:val="24"/>
          <w:szCs w:val="24"/>
        </w:rPr>
        <w:t>)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E27A4E" w:rsidRPr="00E27A4E" w:rsidRDefault="00E27A4E" w:rsidP="00E27A4E">
      <w:pPr>
        <w:shd w:val="clear" w:color="auto" w:fill="FFFFFF"/>
        <w:spacing w:before="100" w:beforeAutospacing="1" w:after="100" w:afterAutospacing="1" w:line="240" w:lineRule="auto"/>
        <w:outlineLvl w:val="3"/>
        <w:rPr>
          <w:rFonts w:ascii="Arial" w:eastAsia="Times New Roman" w:hAnsi="Arial" w:cs="Arial"/>
          <w:color w:val="716C6B"/>
          <w:sz w:val="39"/>
          <w:szCs w:val="39"/>
        </w:rPr>
      </w:pPr>
      <w:bookmarkStart w:id="0" w:name="FDA"/>
      <w:bookmarkEnd w:id="0"/>
      <w:r w:rsidRPr="00E27A4E">
        <w:rPr>
          <w:rFonts w:ascii="Arial" w:eastAsia="Times New Roman" w:hAnsi="Arial" w:cs="Arial"/>
          <w:color w:val="716C6B"/>
          <w:sz w:val="39"/>
          <w:szCs w:val="39"/>
        </w:rPr>
        <w:t>FDA Exempt Categories 21 CFR 56.104</w:t>
      </w:r>
    </w:p>
    <w:p w:rsidR="00E27A4E" w:rsidRPr="00E27A4E" w:rsidRDefault="00E27A4E" w:rsidP="00E27A4E">
      <w:pPr>
        <w:numPr>
          <w:ilvl w:val="0"/>
          <w:numId w:val="5"/>
        </w:numPr>
        <w:shd w:val="clear" w:color="auto" w:fill="FFFFFF"/>
        <w:spacing w:before="100" w:beforeAutospacing="1" w:after="100" w:afterAutospacing="1" w:line="408" w:lineRule="atLeast"/>
        <w:ind w:left="0"/>
        <w:rPr>
          <w:rFonts w:ascii="Arial" w:eastAsia="Times New Roman" w:hAnsi="Arial" w:cs="Arial"/>
          <w:color w:val="342F2E"/>
          <w:sz w:val="24"/>
          <w:szCs w:val="24"/>
        </w:rPr>
      </w:pPr>
      <w:r w:rsidRPr="00E27A4E">
        <w:rPr>
          <w:rFonts w:ascii="Arial" w:eastAsia="Times New Roman" w:hAnsi="Arial" w:cs="Arial"/>
          <w:color w:val="342F2E"/>
          <w:sz w:val="24"/>
          <w:szCs w:val="24"/>
        </w:rPr>
        <w:t>Any investigation which commenced before July 27, 1981 and was subject to requirements for IRB review under FDA regulations before that date, provided that the investigation remains subject to review of an IRB which meets the FDA requirements in effect before July 27, 1981.</w:t>
      </w:r>
    </w:p>
    <w:p w:rsidR="00E27A4E" w:rsidRPr="00E27A4E" w:rsidRDefault="00E27A4E" w:rsidP="00E27A4E">
      <w:pPr>
        <w:numPr>
          <w:ilvl w:val="0"/>
          <w:numId w:val="5"/>
        </w:numPr>
        <w:shd w:val="clear" w:color="auto" w:fill="FFFFFF"/>
        <w:spacing w:before="100" w:beforeAutospacing="1" w:after="100" w:afterAutospacing="1" w:line="408" w:lineRule="atLeast"/>
        <w:ind w:left="0"/>
        <w:rPr>
          <w:rFonts w:ascii="Arial" w:eastAsia="Times New Roman" w:hAnsi="Arial" w:cs="Arial"/>
          <w:color w:val="342F2E"/>
          <w:sz w:val="24"/>
          <w:szCs w:val="24"/>
        </w:rPr>
      </w:pPr>
      <w:r w:rsidRPr="00E27A4E">
        <w:rPr>
          <w:rFonts w:ascii="Arial" w:eastAsia="Times New Roman" w:hAnsi="Arial" w:cs="Arial"/>
          <w:color w:val="342F2E"/>
          <w:sz w:val="24"/>
          <w:szCs w:val="24"/>
        </w:rPr>
        <w:lastRenderedPageBreak/>
        <w:t>Any investigation commenced before July 27, 1981 and was not otherwise subject to requirements for IRB review under Food and Drug Administration regulations before that date.</w:t>
      </w:r>
    </w:p>
    <w:p w:rsidR="00E27A4E" w:rsidRPr="00E27A4E" w:rsidRDefault="00E27A4E" w:rsidP="00E27A4E">
      <w:pPr>
        <w:numPr>
          <w:ilvl w:val="0"/>
          <w:numId w:val="5"/>
        </w:numPr>
        <w:shd w:val="clear" w:color="auto" w:fill="FFFFFF"/>
        <w:spacing w:before="100" w:beforeAutospacing="1" w:after="100" w:afterAutospacing="1" w:line="408" w:lineRule="atLeast"/>
        <w:ind w:left="0"/>
        <w:rPr>
          <w:rFonts w:ascii="Arial" w:eastAsia="Times New Roman" w:hAnsi="Arial" w:cs="Arial"/>
          <w:color w:val="342F2E"/>
          <w:sz w:val="24"/>
          <w:szCs w:val="24"/>
        </w:rPr>
      </w:pPr>
      <w:r w:rsidRPr="00E27A4E">
        <w:rPr>
          <w:rFonts w:ascii="Arial" w:eastAsia="Times New Roman" w:hAnsi="Arial" w:cs="Arial"/>
          <w:color w:val="342F2E"/>
          <w:sz w:val="24"/>
          <w:szCs w:val="24"/>
        </w:rPr>
        <w:t>Emergency use of a test article, provided that such emergency use is reported to the IRB within 5 working days. Any subsequent use of the test article at the institution is subject to IRB review.</w:t>
      </w:r>
    </w:p>
    <w:p w:rsidR="00E27A4E" w:rsidRPr="00E27A4E" w:rsidRDefault="00E27A4E" w:rsidP="00E27A4E">
      <w:pPr>
        <w:numPr>
          <w:ilvl w:val="0"/>
          <w:numId w:val="5"/>
        </w:numPr>
        <w:shd w:val="clear" w:color="auto" w:fill="FFFFFF"/>
        <w:spacing w:before="100" w:beforeAutospacing="1" w:after="100" w:afterAutospacing="1" w:line="408" w:lineRule="atLeast"/>
        <w:ind w:left="0"/>
        <w:rPr>
          <w:rFonts w:ascii="Arial" w:eastAsia="Times New Roman" w:hAnsi="Arial" w:cs="Arial"/>
          <w:color w:val="342F2E"/>
          <w:sz w:val="24"/>
          <w:szCs w:val="24"/>
        </w:rPr>
      </w:pPr>
      <w:r w:rsidRPr="00E27A4E">
        <w:rPr>
          <w:rFonts w:ascii="Arial" w:eastAsia="Times New Roman" w:hAnsi="Arial" w:cs="Arial"/>
          <w:color w:val="342F2E"/>
          <w:sz w:val="24"/>
          <w:szCs w:val="24"/>
        </w:rPr>
        <w:t>Taste and food quality evaluations and consumer acceptance studies, if wholesome foods without additives are consumed or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B5799B" w:rsidRDefault="00E27A4E">
      <w:bookmarkStart w:id="1" w:name="_GoBack"/>
      <w:bookmarkEnd w:id="1"/>
    </w:p>
    <w:sectPr w:rsidR="00B5799B" w:rsidSect="004161C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6B95"/>
    <w:multiLevelType w:val="multilevel"/>
    <w:tmpl w:val="EF0A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7FFD"/>
    <w:multiLevelType w:val="multilevel"/>
    <w:tmpl w:val="AF6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365E"/>
    <w:multiLevelType w:val="multilevel"/>
    <w:tmpl w:val="0072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D26A6"/>
    <w:multiLevelType w:val="multilevel"/>
    <w:tmpl w:val="DE3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06F8B"/>
    <w:multiLevelType w:val="multilevel"/>
    <w:tmpl w:val="07465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4E"/>
    <w:rsid w:val="003D6E7E"/>
    <w:rsid w:val="004161C6"/>
    <w:rsid w:val="00784C0C"/>
    <w:rsid w:val="00965E40"/>
    <w:rsid w:val="00977DE6"/>
    <w:rsid w:val="00E2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850A3-9208-4406-AD55-8E6B017E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671173">
      <w:bodyDiv w:val="1"/>
      <w:marLeft w:val="0"/>
      <w:marRight w:val="0"/>
      <w:marTop w:val="0"/>
      <w:marBottom w:val="0"/>
      <w:divBdr>
        <w:top w:val="none" w:sz="0" w:space="0" w:color="auto"/>
        <w:left w:val="none" w:sz="0" w:space="0" w:color="auto"/>
        <w:bottom w:val="none" w:sz="0" w:space="0" w:color="auto"/>
        <w:right w:val="none" w:sz="0" w:space="0" w:color="auto"/>
      </w:divBdr>
      <w:divsChild>
        <w:div w:id="932470472">
          <w:marLeft w:val="0"/>
          <w:marRight w:val="0"/>
          <w:marTop w:val="0"/>
          <w:marBottom w:val="0"/>
          <w:divBdr>
            <w:top w:val="none" w:sz="0" w:space="0" w:color="auto"/>
            <w:left w:val="none" w:sz="0" w:space="0" w:color="auto"/>
            <w:bottom w:val="none" w:sz="0" w:space="0" w:color="auto"/>
            <w:right w:val="none" w:sz="0" w:space="0" w:color="auto"/>
          </w:divBdr>
          <w:divsChild>
            <w:div w:id="1784112977">
              <w:marLeft w:val="0"/>
              <w:marRight w:val="0"/>
              <w:marTop w:val="0"/>
              <w:marBottom w:val="300"/>
              <w:divBdr>
                <w:top w:val="none" w:sz="0" w:space="0" w:color="auto"/>
                <w:left w:val="none" w:sz="0" w:space="0" w:color="auto"/>
                <w:bottom w:val="none" w:sz="0" w:space="0" w:color="auto"/>
                <w:right w:val="none" w:sz="0" w:space="0" w:color="auto"/>
              </w:divBdr>
              <w:divsChild>
                <w:div w:id="1429155729">
                  <w:marLeft w:val="0"/>
                  <w:marRight w:val="0"/>
                  <w:marTop w:val="0"/>
                  <w:marBottom w:val="0"/>
                  <w:divBdr>
                    <w:top w:val="none" w:sz="0" w:space="0" w:color="auto"/>
                    <w:left w:val="none" w:sz="0" w:space="0" w:color="auto"/>
                    <w:bottom w:val="none" w:sz="0" w:space="0" w:color="auto"/>
                    <w:right w:val="none" w:sz="0" w:space="0" w:color="auto"/>
                  </w:divBdr>
                  <w:divsChild>
                    <w:div w:id="2087917271">
                      <w:marLeft w:val="0"/>
                      <w:marRight w:val="0"/>
                      <w:marTop w:val="0"/>
                      <w:marBottom w:val="0"/>
                      <w:divBdr>
                        <w:top w:val="none" w:sz="0" w:space="0" w:color="auto"/>
                        <w:left w:val="none" w:sz="0" w:space="0" w:color="auto"/>
                        <w:bottom w:val="none" w:sz="0" w:space="0" w:color="auto"/>
                        <w:right w:val="none" w:sz="0" w:space="0" w:color="auto"/>
                      </w:divBdr>
                      <w:divsChild>
                        <w:div w:id="1289161261">
                          <w:marLeft w:val="0"/>
                          <w:marRight w:val="0"/>
                          <w:marTop w:val="0"/>
                          <w:marBottom w:val="0"/>
                          <w:divBdr>
                            <w:top w:val="none" w:sz="0" w:space="0" w:color="auto"/>
                            <w:left w:val="none" w:sz="0" w:space="0" w:color="auto"/>
                            <w:bottom w:val="none" w:sz="0" w:space="0" w:color="auto"/>
                            <w:right w:val="none" w:sz="0" w:space="0" w:color="auto"/>
                          </w:divBdr>
                          <w:divsChild>
                            <w:div w:id="291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b.northwestern.edu/process/new-study/reviews/exempt-categories-examples" TargetMode="External"/><Relationship Id="rId5" Type="http://schemas.openxmlformats.org/officeDocument/2006/relationships/hyperlink" Target="http://www.hhs.gov/ohrp/policy/exmpt-pb.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1</cp:revision>
  <dcterms:created xsi:type="dcterms:W3CDTF">2017-02-27T20:02:00Z</dcterms:created>
  <dcterms:modified xsi:type="dcterms:W3CDTF">2017-02-27T20:04:00Z</dcterms:modified>
</cp:coreProperties>
</file>