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ED" w:rsidRPr="00894909" w:rsidRDefault="00716E4D" w:rsidP="00894909">
      <w:pPr>
        <w:spacing w:after="181" w:line="259" w:lineRule="auto"/>
        <w:ind w:left="-504" w:firstLine="0"/>
        <w:jc w:val="center"/>
      </w:pPr>
      <w:r>
        <w:rPr>
          <w:noProof/>
          <w:lang w:val="en-US" w:eastAsia="en-US"/>
        </w:rPr>
        <w:drawing>
          <wp:inline distT="0" distB="0" distL="0" distR="0">
            <wp:extent cx="5840730" cy="883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25863"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40730" cy="883920"/>
                    </a:xfrm>
                    <a:prstGeom prst="rect">
                      <a:avLst/>
                    </a:prstGeom>
                    <a:noFill/>
                  </pic:spPr>
                </pic:pic>
              </a:graphicData>
            </a:graphic>
          </wp:inline>
        </w:drawing>
      </w:r>
    </w:p>
    <w:p w:rsidR="00CA56ED" w:rsidRPr="00D332D2" w:rsidRDefault="00716E4D">
      <w:pPr>
        <w:spacing w:after="124" w:line="259" w:lineRule="auto"/>
        <w:ind w:left="57" w:firstLine="0"/>
        <w:jc w:val="center"/>
        <w:rPr>
          <w:lang w:val="en-US"/>
        </w:rPr>
      </w:pPr>
      <w:r w:rsidRPr="00D332D2">
        <w:rPr>
          <w:lang w:val="en-US"/>
        </w:rPr>
        <w:t xml:space="preserve"> </w:t>
      </w:r>
    </w:p>
    <w:p w:rsidR="00CA56ED" w:rsidRPr="00296B4C" w:rsidRDefault="00716E4D" w:rsidP="00296B4C">
      <w:pPr>
        <w:spacing w:after="0" w:line="240" w:lineRule="auto"/>
        <w:ind w:left="17" w:hanging="10"/>
        <w:jc w:val="center"/>
        <w:rPr>
          <w:sz w:val="28"/>
          <w:lang w:val="en-US"/>
        </w:rPr>
      </w:pPr>
      <w:r w:rsidRPr="00296B4C">
        <w:rPr>
          <w:b/>
          <w:sz w:val="28"/>
          <w:u w:val="single" w:color="000000"/>
          <w:lang w:val="en-US"/>
        </w:rPr>
        <w:t>Policy 1: D</w:t>
      </w:r>
      <w:r w:rsidRPr="00296B4C">
        <w:rPr>
          <w:b/>
          <w:sz w:val="22"/>
          <w:u w:val="single" w:color="000000"/>
          <w:lang w:val="en-US"/>
        </w:rPr>
        <w:t xml:space="preserve">ETERMINING WHETHER A </w:t>
      </w:r>
      <w:r w:rsidRPr="00296B4C">
        <w:rPr>
          <w:b/>
          <w:sz w:val="28"/>
          <w:u w:val="single" w:color="000000"/>
          <w:lang w:val="en-US"/>
        </w:rPr>
        <w:t>R</w:t>
      </w:r>
      <w:r w:rsidRPr="00296B4C">
        <w:rPr>
          <w:b/>
          <w:sz w:val="22"/>
          <w:u w:val="single" w:color="000000"/>
          <w:lang w:val="en-US"/>
        </w:rPr>
        <w:t xml:space="preserve">ESEARCH </w:t>
      </w:r>
      <w:r w:rsidRPr="00296B4C">
        <w:rPr>
          <w:b/>
          <w:sz w:val="28"/>
          <w:u w:val="single" w:color="000000"/>
          <w:lang w:val="en-US"/>
        </w:rPr>
        <w:t>A</w:t>
      </w:r>
      <w:r w:rsidRPr="00296B4C">
        <w:rPr>
          <w:b/>
          <w:sz w:val="22"/>
          <w:u w:val="single" w:color="000000"/>
          <w:lang w:val="en-US"/>
        </w:rPr>
        <w:t xml:space="preserve">CTIVITY </w:t>
      </w:r>
      <w:r w:rsidRPr="00296B4C">
        <w:rPr>
          <w:b/>
          <w:sz w:val="28"/>
          <w:u w:val="single" w:color="000000"/>
          <w:lang w:val="en-US"/>
        </w:rPr>
        <w:t>N</w:t>
      </w:r>
      <w:r w:rsidRPr="00296B4C">
        <w:rPr>
          <w:b/>
          <w:sz w:val="22"/>
          <w:u w:val="single" w:color="000000"/>
          <w:lang w:val="en-US"/>
        </w:rPr>
        <w:t xml:space="preserve">EEDS </w:t>
      </w:r>
      <w:r w:rsidRPr="00296B4C">
        <w:rPr>
          <w:b/>
          <w:sz w:val="28"/>
          <w:u w:val="single" w:color="000000"/>
          <w:lang w:val="en-US"/>
        </w:rPr>
        <w:t>IRB</w:t>
      </w:r>
      <w:r w:rsidRPr="00296B4C">
        <w:rPr>
          <w:b/>
          <w:sz w:val="22"/>
          <w:u w:val="single" w:color="000000"/>
          <w:lang w:val="en-US"/>
        </w:rPr>
        <w:t xml:space="preserve"> </w:t>
      </w:r>
      <w:r w:rsidRPr="00296B4C">
        <w:rPr>
          <w:b/>
          <w:sz w:val="28"/>
          <w:u w:val="single" w:color="000000"/>
          <w:lang w:val="en-US"/>
        </w:rPr>
        <w:t>R</w:t>
      </w:r>
      <w:r w:rsidRPr="00296B4C">
        <w:rPr>
          <w:b/>
          <w:sz w:val="22"/>
          <w:u w:val="single" w:color="000000"/>
          <w:lang w:val="en-US"/>
        </w:rPr>
        <w:t xml:space="preserve">EVIEW AND </w:t>
      </w:r>
      <w:r w:rsidRPr="00296B4C">
        <w:rPr>
          <w:b/>
          <w:sz w:val="28"/>
          <w:u w:val="single" w:color="000000"/>
          <w:lang w:val="en-US"/>
        </w:rPr>
        <w:t>A</w:t>
      </w:r>
      <w:r w:rsidRPr="00296B4C">
        <w:rPr>
          <w:b/>
          <w:sz w:val="22"/>
          <w:u w:val="single" w:color="000000"/>
          <w:lang w:val="en-US"/>
        </w:rPr>
        <w:t>PPROVAL</w:t>
      </w:r>
      <w:r w:rsidRPr="00296B4C">
        <w:rPr>
          <w:b/>
          <w:sz w:val="22"/>
          <w:lang w:val="en-US"/>
        </w:rPr>
        <w:t xml:space="preserve"> </w:t>
      </w:r>
      <w:r w:rsidRPr="00296B4C">
        <w:rPr>
          <w:b/>
          <w:sz w:val="28"/>
          <w:lang w:val="en-US"/>
        </w:rPr>
        <w:t xml:space="preserve"> </w:t>
      </w:r>
    </w:p>
    <w:p w:rsidR="00CA56ED" w:rsidRPr="00296B4C" w:rsidRDefault="00716E4D" w:rsidP="00296B4C">
      <w:pPr>
        <w:spacing w:after="0" w:line="240" w:lineRule="auto"/>
        <w:ind w:left="57" w:firstLine="0"/>
        <w:jc w:val="center"/>
        <w:rPr>
          <w:sz w:val="24"/>
          <w:lang w:val="en-US"/>
        </w:rPr>
      </w:pPr>
      <w:r w:rsidRPr="00296B4C">
        <w:rPr>
          <w:sz w:val="24"/>
          <w:lang w:val="en-US"/>
        </w:rPr>
        <w:t xml:space="preserve"> </w:t>
      </w:r>
    </w:p>
    <w:p w:rsidR="00CA56ED" w:rsidRPr="00296B4C" w:rsidRDefault="00716E4D" w:rsidP="00296B4C">
      <w:pPr>
        <w:pStyle w:val="Heading2"/>
        <w:spacing w:after="0" w:line="240" w:lineRule="auto"/>
        <w:ind w:left="-5"/>
        <w:rPr>
          <w:sz w:val="24"/>
          <w:lang w:val="en-US"/>
        </w:rPr>
      </w:pPr>
      <w:r w:rsidRPr="00296B4C">
        <w:rPr>
          <w:sz w:val="24"/>
          <w:lang w:val="en-US"/>
        </w:rPr>
        <w:t xml:space="preserve">1. Subject </w:t>
      </w:r>
    </w:p>
    <w:p w:rsidR="00CA56ED" w:rsidRPr="00296B4C" w:rsidRDefault="00716E4D" w:rsidP="00296B4C">
      <w:pPr>
        <w:spacing w:after="0" w:line="240" w:lineRule="auto"/>
        <w:ind w:left="705" w:right="11" w:firstLine="0"/>
        <w:rPr>
          <w:sz w:val="24"/>
          <w:lang w:val="en-US"/>
        </w:rPr>
      </w:pPr>
      <w:r w:rsidRPr="00296B4C">
        <w:rPr>
          <w:sz w:val="24"/>
          <w:lang w:val="en-US"/>
        </w:rPr>
        <w:t xml:space="preserve">All research activities that involve the collection of information through intervention, interaction with, or observation of individuals, or the collection or use of private information about individuals, must be evaluated to determine whether they constitute human participant research, and the type of review required before the research activities can begin. This policy provides guidelines for making this determination and outlines the appropriate review requirements.  </w:t>
      </w:r>
    </w:p>
    <w:p w:rsidR="00CA56ED" w:rsidRPr="00296B4C" w:rsidRDefault="00716E4D" w:rsidP="00296B4C">
      <w:pPr>
        <w:spacing w:after="0" w:line="240" w:lineRule="auto"/>
        <w:ind w:left="720" w:firstLine="0"/>
        <w:rPr>
          <w:sz w:val="24"/>
          <w:lang w:val="en-US"/>
        </w:rPr>
      </w:pPr>
      <w:r w:rsidRPr="00296B4C">
        <w:rPr>
          <w:sz w:val="24"/>
          <w:lang w:val="en-US"/>
        </w:rPr>
        <w:t xml:space="preserve"> </w:t>
      </w:r>
    </w:p>
    <w:p w:rsidR="00CA56ED" w:rsidRPr="00296B4C" w:rsidRDefault="00716E4D" w:rsidP="00296B4C">
      <w:pPr>
        <w:pStyle w:val="Heading2"/>
        <w:spacing w:after="0" w:line="240" w:lineRule="auto"/>
        <w:ind w:left="-5"/>
        <w:rPr>
          <w:sz w:val="24"/>
          <w:lang w:val="en-US"/>
        </w:rPr>
      </w:pPr>
      <w:r w:rsidRPr="00296B4C">
        <w:rPr>
          <w:sz w:val="24"/>
          <w:lang w:val="en-US"/>
        </w:rPr>
        <w:t>2. Scope</w:t>
      </w:r>
      <w:r w:rsidRPr="00296B4C">
        <w:rPr>
          <w:b w:val="0"/>
          <w:sz w:val="24"/>
          <w:lang w:val="en-US"/>
        </w:rPr>
        <w:t xml:space="preserve"> </w:t>
      </w:r>
    </w:p>
    <w:p w:rsidR="0037238E" w:rsidRPr="00296B4C" w:rsidRDefault="00716E4D" w:rsidP="0037238E">
      <w:pPr>
        <w:spacing w:after="0" w:line="240" w:lineRule="auto"/>
        <w:ind w:left="720" w:right="11" w:firstLine="0"/>
        <w:rPr>
          <w:sz w:val="24"/>
          <w:lang w:val="en-US"/>
        </w:rPr>
      </w:pPr>
      <w:r w:rsidRPr="00296B4C">
        <w:rPr>
          <w:sz w:val="24"/>
          <w:lang w:val="en-US"/>
        </w:rPr>
        <w:t xml:space="preserve">All </w:t>
      </w:r>
      <w:r>
        <w:rPr>
          <w:sz w:val="24"/>
          <w:lang w:val="en-US"/>
        </w:rPr>
        <w:t xml:space="preserve">UPR </w:t>
      </w:r>
      <w:r w:rsidRPr="00296B4C">
        <w:rPr>
          <w:sz w:val="24"/>
          <w:lang w:val="en-US"/>
        </w:rPr>
        <w:t>Comprehensive Cancer Center (</w:t>
      </w:r>
      <w:r>
        <w:rPr>
          <w:sz w:val="24"/>
          <w:lang w:val="en-US"/>
        </w:rPr>
        <w:t>CCC-UPR</w:t>
      </w:r>
      <w:r w:rsidRPr="00296B4C">
        <w:rPr>
          <w:sz w:val="24"/>
          <w:lang w:val="en-US"/>
        </w:rPr>
        <w:t xml:space="preserve">) IRB Policies &amp; Procedures apply to all human participant research projects conducted by </w:t>
      </w:r>
      <w:r>
        <w:rPr>
          <w:sz w:val="24"/>
          <w:lang w:val="en-US"/>
        </w:rPr>
        <w:t>CCC-UPR</w:t>
      </w:r>
      <w:r w:rsidRPr="00296B4C">
        <w:rPr>
          <w:sz w:val="24"/>
          <w:lang w:val="en-US"/>
        </w:rPr>
        <w:t xml:space="preserve"> faculty, staff, or students or by anyone conducting research in which the participation of </w:t>
      </w:r>
      <w:r>
        <w:rPr>
          <w:sz w:val="24"/>
          <w:lang w:val="en-US"/>
        </w:rPr>
        <w:t>CCC-UPR</w:t>
      </w:r>
      <w:r w:rsidRPr="00296B4C">
        <w:rPr>
          <w:sz w:val="24"/>
          <w:lang w:val="en-US"/>
        </w:rPr>
        <w:t xml:space="preserve"> meets the definition of “engagement” as indicated by the Office of Human Research Protections (OHRP) (</w:t>
      </w:r>
      <w:hyperlink r:id="rId8" w:history="1">
        <w:r w:rsidR="00C44BDA" w:rsidRPr="005304F3">
          <w:rPr>
            <w:color w:val="0000FF"/>
            <w:sz w:val="24"/>
            <w:lang w:val="en-US"/>
          </w:rPr>
          <w:t>https://www.hhs.gov/ohrp/</w:t>
        </w:r>
      </w:hyperlink>
      <w:r w:rsidRPr="00296B4C">
        <w:rPr>
          <w:sz w:val="24"/>
          <w:lang w:val="en-US"/>
        </w:rPr>
        <w:t xml:space="preserve">). </w:t>
      </w:r>
    </w:p>
    <w:p w:rsidR="0037238E" w:rsidRPr="00296B4C" w:rsidRDefault="0037238E" w:rsidP="0037238E">
      <w:pPr>
        <w:spacing w:after="0" w:line="240" w:lineRule="auto"/>
        <w:ind w:left="705" w:right="11" w:firstLine="0"/>
        <w:rPr>
          <w:sz w:val="24"/>
          <w:lang w:val="en-US"/>
        </w:rPr>
      </w:pPr>
    </w:p>
    <w:p w:rsidR="00CA56ED" w:rsidRPr="00296B4C" w:rsidRDefault="00716E4D" w:rsidP="00296B4C">
      <w:pPr>
        <w:pStyle w:val="Heading2"/>
        <w:spacing w:after="0" w:line="240" w:lineRule="auto"/>
        <w:ind w:left="-5"/>
        <w:rPr>
          <w:sz w:val="24"/>
        </w:rPr>
      </w:pPr>
      <w:r w:rsidRPr="00296B4C">
        <w:rPr>
          <w:sz w:val="24"/>
        </w:rPr>
        <w:t xml:space="preserve">3. </w:t>
      </w:r>
      <w:r w:rsidRPr="00D72A0E">
        <w:rPr>
          <w:sz w:val="24"/>
          <w:lang w:val="en-US"/>
        </w:rPr>
        <w:t>Policy Statements</w:t>
      </w:r>
      <w:r w:rsidRPr="00296B4C">
        <w:rPr>
          <w:sz w:val="24"/>
        </w:rPr>
        <w:t xml:space="preserve"> </w:t>
      </w:r>
    </w:p>
    <w:p w:rsidR="00CA56ED" w:rsidRPr="00296B4C" w:rsidRDefault="00716E4D" w:rsidP="00296B4C">
      <w:pPr>
        <w:numPr>
          <w:ilvl w:val="0"/>
          <w:numId w:val="1"/>
        </w:numPr>
        <w:spacing w:after="0" w:line="240" w:lineRule="auto"/>
        <w:ind w:right="11" w:hanging="360"/>
        <w:rPr>
          <w:sz w:val="24"/>
          <w:lang w:val="en-US"/>
        </w:rPr>
      </w:pPr>
      <w:r w:rsidRPr="00296B4C">
        <w:rPr>
          <w:sz w:val="24"/>
          <w:lang w:val="en-US"/>
        </w:rPr>
        <w:t xml:space="preserve">The researcher is responsible for ensuring full and continuing compliance with all University and IRB policies in the conduct of his/her research.  </w:t>
      </w:r>
    </w:p>
    <w:p w:rsidR="00CA56ED" w:rsidRPr="00296B4C" w:rsidRDefault="00716E4D" w:rsidP="00296B4C">
      <w:pPr>
        <w:numPr>
          <w:ilvl w:val="0"/>
          <w:numId w:val="1"/>
        </w:numPr>
        <w:spacing w:after="0" w:line="240" w:lineRule="auto"/>
        <w:ind w:right="11" w:hanging="360"/>
        <w:rPr>
          <w:sz w:val="24"/>
          <w:lang w:val="en-US"/>
        </w:rPr>
      </w:pPr>
      <w:r w:rsidRPr="00296B4C">
        <w:rPr>
          <w:sz w:val="24"/>
          <w:lang w:val="en-US"/>
        </w:rPr>
        <w:t xml:space="preserve">A researcher may, in consultation with </w:t>
      </w:r>
      <w:r w:rsidR="0001475C">
        <w:rPr>
          <w:sz w:val="24"/>
          <w:lang w:val="en-US"/>
        </w:rPr>
        <w:t>the IRB Administrative staff</w:t>
      </w:r>
      <w:r w:rsidRPr="00296B4C">
        <w:rPr>
          <w:sz w:val="24"/>
          <w:lang w:val="en-US"/>
        </w:rPr>
        <w:t xml:space="preserve"> or using the Decision Tree (</w:t>
      </w:r>
      <w:r w:rsidR="00910D86" w:rsidRPr="005304F3">
        <w:rPr>
          <w:color w:val="0000FF"/>
          <w:sz w:val="24"/>
          <w:lang w:val="en-US"/>
        </w:rPr>
        <w:t>http://www.irb</w:t>
      </w:r>
      <w:r w:rsidR="006F7580" w:rsidRPr="005304F3">
        <w:rPr>
          <w:color w:val="0000FF"/>
          <w:sz w:val="24"/>
          <w:lang w:val="en-US"/>
        </w:rPr>
        <w:t>@ccc</w:t>
      </w:r>
      <w:r w:rsidR="00C17B1D" w:rsidRPr="005304F3">
        <w:rPr>
          <w:color w:val="0000FF"/>
          <w:sz w:val="24"/>
          <w:lang w:val="en-US"/>
        </w:rPr>
        <w:t>upr.</w:t>
      </w:r>
      <w:r w:rsidR="005304F3">
        <w:rPr>
          <w:color w:val="0000FF"/>
          <w:sz w:val="24"/>
          <w:lang w:val="en-US"/>
        </w:rPr>
        <w:t>org</w:t>
      </w:r>
      <w:r w:rsidRPr="00296B4C">
        <w:rPr>
          <w:sz w:val="24"/>
          <w:lang w:val="en-US"/>
        </w:rPr>
        <w:t>), make a self- determination whether the proposed research activity</w:t>
      </w:r>
      <w:r w:rsidRPr="00296B4C">
        <w:rPr>
          <w:b/>
          <w:sz w:val="24"/>
          <w:lang w:val="en-US"/>
        </w:rPr>
        <w:t xml:space="preserve"> </w:t>
      </w:r>
      <w:r w:rsidRPr="00296B4C">
        <w:rPr>
          <w:sz w:val="24"/>
          <w:lang w:val="en-US"/>
        </w:rPr>
        <w:t xml:space="preserve">does or does not constitute human participant research.  </w:t>
      </w:r>
    </w:p>
    <w:p w:rsidR="00CA56ED" w:rsidRPr="00296B4C" w:rsidRDefault="00716E4D" w:rsidP="00296B4C">
      <w:pPr>
        <w:numPr>
          <w:ilvl w:val="0"/>
          <w:numId w:val="1"/>
        </w:numPr>
        <w:spacing w:after="0" w:line="240" w:lineRule="auto"/>
        <w:ind w:right="11" w:hanging="360"/>
        <w:rPr>
          <w:sz w:val="24"/>
          <w:lang w:val="en-US"/>
        </w:rPr>
      </w:pPr>
      <w:r w:rsidRPr="00296B4C">
        <w:rPr>
          <w:sz w:val="24"/>
          <w:lang w:val="en-US"/>
        </w:rPr>
        <w:t xml:space="preserve">If the research activity </w:t>
      </w:r>
      <w:r w:rsidRPr="00296B4C">
        <w:rPr>
          <w:b/>
          <w:sz w:val="24"/>
          <w:u w:val="single" w:color="000000"/>
          <w:lang w:val="en-US"/>
        </w:rPr>
        <w:t>does not</w:t>
      </w:r>
      <w:r w:rsidRPr="00296B4C">
        <w:rPr>
          <w:sz w:val="24"/>
          <w:lang w:val="en-US"/>
        </w:rPr>
        <w:t xml:space="preserve"> constitute human participant research, the researcher may initiate the research without r</w:t>
      </w:r>
      <w:r w:rsidR="0001475C">
        <w:rPr>
          <w:sz w:val="24"/>
          <w:lang w:val="en-US"/>
        </w:rPr>
        <w:t>eview or approval by the IRB</w:t>
      </w:r>
      <w:r w:rsidRPr="00296B4C">
        <w:rPr>
          <w:sz w:val="24"/>
          <w:lang w:val="en-US"/>
        </w:rPr>
        <w:t xml:space="preserve">. </w:t>
      </w:r>
    </w:p>
    <w:p w:rsidR="00296B4C" w:rsidRPr="005304F3" w:rsidRDefault="00716E4D" w:rsidP="005304F3">
      <w:pPr>
        <w:numPr>
          <w:ilvl w:val="0"/>
          <w:numId w:val="1"/>
        </w:numPr>
        <w:spacing w:after="0" w:line="240" w:lineRule="auto"/>
        <w:ind w:right="11" w:hanging="360"/>
        <w:rPr>
          <w:sz w:val="24"/>
          <w:lang w:val="en-US"/>
        </w:rPr>
      </w:pPr>
      <w:r w:rsidRPr="00296B4C">
        <w:rPr>
          <w:sz w:val="24"/>
          <w:lang w:val="en-US"/>
        </w:rPr>
        <w:t xml:space="preserve">If the research activity </w:t>
      </w:r>
      <w:r w:rsidRPr="00296B4C">
        <w:rPr>
          <w:b/>
          <w:sz w:val="24"/>
          <w:u w:val="single" w:color="000000"/>
          <w:lang w:val="en-US"/>
        </w:rPr>
        <w:t>does</w:t>
      </w:r>
      <w:r w:rsidRPr="00296B4C">
        <w:rPr>
          <w:sz w:val="24"/>
          <w:lang w:val="en-US"/>
        </w:rPr>
        <w:t xml:space="preserve"> constitute human participant research, the researcher must submit a completed application to </w:t>
      </w:r>
      <w:r w:rsidR="0001475C">
        <w:rPr>
          <w:sz w:val="24"/>
          <w:lang w:val="en-US"/>
        </w:rPr>
        <w:t>IRB</w:t>
      </w:r>
      <w:r w:rsidRPr="00296B4C">
        <w:rPr>
          <w:sz w:val="24"/>
          <w:lang w:val="en-US"/>
        </w:rPr>
        <w:t xml:space="preserve"> for review.  Research activities may not commence until the researcher receives a written letter of IRB approval or a notice of</w:t>
      </w:r>
      <w:r w:rsidR="0001475C">
        <w:rPr>
          <w:sz w:val="24"/>
          <w:lang w:val="en-US"/>
        </w:rPr>
        <w:t xml:space="preserve"> exemption from IRB review</w:t>
      </w:r>
      <w:r w:rsidRPr="00296B4C">
        <w:rPr>
          <w:sz w:val="24"/>
          <w:lang w:val="en-US"/>
        </w:rPr>
        <w:t>. Investigator self-experimentation is considered to research with human participants (see Addendum).</w:t>
      </w:r>
    </w:p>
    <w:p w:rsidR="00CA56ED" w:rsidRPr="00296B4C" w:rsidRDefault="00716E4D" w:rsidP="00296B4C">
      <w:pPr>
        <w:spacing w:after="0" w:line="240" w:lineRule="auto"/>
        <w:ind w:left="720" w:firstLine="0"/>
        <w:rPr>
          <w:sz w:val="24"/>
          <w:lang w:val="en-US"/>
        </w:rPr>
      </w:pPr>
      <w:r w:rsidRPr="00296B4C">
        <w:rPr>
          <w:sz w:val="24"/>
          <w:lang w:val="en-US"/>
        </w:rPr>
        <w:t xml:space="preserve"> </w:t>
      </w:r>
    </w:p>
    <w:p w:rsidR="00CA56ED" w:rsidRPr="00296B4C" w:rsidRDefault="00716E4D" w:rsidP="00296B4C">
      <w:pPr>
        <w:pStyle w:val="Heading2"/>
        <w:spacing w:after="0" w:line="240" w:lineRule="auto"/>
        <w:ind w:left="-5"/>
        <w:rPr>
          <w:sz w:val="24"/>
          <w:lang w:val="en-US"/>
        </w:rPr>
      </w:pPr>
      <w:r w:rsidRPr="00296B4C">
        <w:rPr>
          <w:sz w:val="24"/>
          <w:lang w:val="en-US"/>
        </w:rPr>
        <w:t>4. Procedures</w:t>
      </w:r>
      <w:r w:rsidRPr="00296B4C">
        <w:rPr>
          <w:b w:val="0"/>
          <w:sz w:val="32"/>
          <w:lang w:val="en-US"/>
        </w:rPr>
        <w:t xml:space="preserve">  </w:t>
      </w:r>
    </w:p>
    <w:p w:rsidR="00CA56ED" w:rsidRDefault="00716E4D" w:rsidP="00296B4C">
      <w:pPr>
        <w:spacing w:after="0" w:line="240" w:lineRule="auto"/>
        <w:ind w:left="360" w:right="11" w:firstLine="0"/>
        <w:rPr>
          <w:sz w:val="24"/>
          <w:lang w:val="en-US"/>
        </w:rPr>
      </w:pPr>
      <w:r w:rsidRPr="00296B4C">
        <w:rPr>
          <w:sz w:val="24"/>
          <w:lang w:val="en-US"/>
        </w:rPr>
        <w:t xml:space="preserve">Consult the Flowchart below for a </w:t>
      </w:r>
      <w:r w:rsidR="005D2CEB" w:rsidRPr="00296B4C">
        <w:rPr>
          <w:sz w:val="24"/>
          <w:lang w:val="en-US"/>
        </w:rPr>
        <w:t>high-level</w:t>
      </w:r>
      <w:r w:rsidRPr="00296B4C">
        <w:rPr>
          <w:sz w:val="24"/>
          <w:lang w:val="en-US"/>
        </w:rPr>
        <w:t xml:space="preserve"> outline of next steps. For detailed policy and procedure requirements for each review type, consult IRB policies 2 and 3 </w:t>
      </w:r>
    </w:p>
    <w:p w:rsidR="00296B4C" w:rsidRDefault="00296B4C" w:rsidP="00296B4C">
      <w:pPr>
        <w:spacing w:after="0" w:line="240" w:lineRule="auto"/>
        <w:ind w:left="360" w:right="11" w:firstLine="0"/>
        <w:rPr>
          <w:sz w:val="24"/>
          <w:lang w:val="en-US"/>
        </w:rPr>
      </w:pPr>
    </w:p>
    <w:p w:rsidR="00296B4C" w:rsidRPr="00296B4C" w:rsidRDefault="00296B4C" w:rsidP="00296B4C">
      <w:pPr>
        <w:spacing w:after="0" w:line="240" w:lineRule="auto"/>
        <w:ind w:left="360" w:right="11" w:firstLine="0"/>
        <w:rPr>
          <w:sz w:val="24"/>
          <w:lang w:val="en-US"/>
        </w:rPr>
      </w:pPr>
    </w:p>
    <w:p w:rsidR="00B656D0" w:rsidRPr="00B656D0" w:rsidRDefault="00716E4D" w:rsidP="00B656D0">
      <w:pPr>
        <w:pStyle w:val="Heading2"/>
        <w:shd w:val="clear" w:color="auto" w:fill="FFFFFF"/>
        <w:jc w:val="center"/>
        <w:rPr>
          <w:rFonts w:ascii="Helvetica" w:hAnsi="Helvetica" w:cs="Helvetica"/>
          <w:b w:val="0"/>
          <w:sz w:val="28"/>
          <w:szCs w:val="39"/>
          <w:lang w:val="en" w:eastAsia="en-US"/>
        </w:rPr>
      </w:pPr>
      <w:r w:rsidRPr="00FC7AA7">
        <w:rPr>
          <w:lang w:val="en-US"/>
        </w:rPr>
        <w:lastRenderedPageBreak/>
        <w:br w:type="textWrapping" w:clear="all"/>
      </w:r>
      <w:r w:rsidRPr="00B656D0">
        <w:rPr>
          <w:rFonts w:ascii="Helvetica" w:hAnsi="Helvetica" w:cs="Helvetica"/>
          <w:b w:val="0"/>
          <w:sz w:val="28"/>
          <w:szCs w:val="39"/>
          <w:lang w:val="en" w:eastAsia="en-US"/>
        </w:rPr>
        <w:t>Chart 1: Is an Activity Research Involving Human Subjects?</w:t>
      </w:r>
    </w:p>
    <w:p w:rsidR="00B656D0" w:rsidRPr="00B656D0" w:rsidRDefault="00716E4D" w:rsidP="00B656D0">
      <w:pPr>
        <w:shd w:val="clear" w:color="auto" w:fill="FFFFFF"/>
        <w:spacing w:after="150" w:line="240" w:lineRule="auto"/>
        <w:ind w:left="0" w:firstLine="0"/>
        <w:jc w:val="center"/>
        <w:rPr>
          <w:rFonts w:ascii="Helvetica" w:hAnsi="Helvetica" w:cs="Helvetica"/>
          <w:sz w:val="21"/>
          <w:szCs w:val="21"/>
          <w:lang w:val="en" w:eastAsia="en-US"/>
        </w:rPr>
      </w:pPr>
      <w:r w:rsidRPr="00B656D0">
        <w:rPr>
          <w:rFonts w:ascii="Helvetica" w:hAnsi="Helvetica" w:cs="Helvetica"/>
          <w:noProof/>
          <w:sz w:val="21"/>
          <w:szCs w:val="21"/>
          <w:lang w:val="en-US" w:eastAsia="en-US"/>
        </w:rPr>
        <w:drawing>
          <wp:inline distT="0" distB="0" distL="0" distR="0">
            <wp:extent cx="6220810" cy="7496076"/>
            <wp:effectExtent l="0" t="0" r="8890" b="0"/>
            <wp:docPr id="2" name="Picture 2" descr="Chart 1: Is an Activity Research Involving Human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3578" name="Picture 2" descr="Chart 1: Is an Activity Research Involving Human Subject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235106" cy="7513303"/>
                    </a:xfrm>
                    <a:prstGeom prst="rect">
                      <a:avLst/>
                    </a:prstGeom>
                    <a:noFill/>
                    <a:ln>
                      <a:noFill/>
                    </a:ln>
                  </pic:spPr>
                </pic:pic>
              </a:graphicData>
            </a:graphic>
          </wp:inline>
        </w:drawing>
      </w:r>
    </w:p>
    <w:p w:rsidR="00CA56ED" w:rsidRDefault="00CA56ED" w:rsidP="00B656D0">
      <w:pPr>
        <w:shd w:val="clear" w:color="auto" w:fill="FFFFFF"/>
        <w:spacing w:line="240" w:lineRule="auto"/>
        <w:ind w:left="0" w:firstLine="0"/>
        <w:rPr>
          <w:rFonts w:ascii="Helvetica" w:hAnsi="Helvetica" w:cs="Helvetica"/>
          <w:color w:val="0053CC"/>
          <w:sz w:val="21"/>
          <w:szCs w:val="21"/>
          <w:u w:val="single"/>
          <w:lang w:val="en" w:eastAsia="en-US"/>
        </w:rPr>
      </w:pPr>
    </w:p>
    <w:p w:rsidR="00B656D0" w:rsidRDefault="00B656D0" w:rsidP="00B656D0">
      <w:pPr>
        <w:shd w:val="clear" w:color="auto" w:fill="FFFFFF"/>
        <w:spacing w:line="240" w:lineRule="auto"/>
        <w:ind w:left="0" w:firstLine="0"/>
        <w:rPr>
          <w:rFonts w:ascii="Helvetica" w:hAnsi="Helvetica" w:cs="Helvetica"/>
          <w:color w:val="0053CC"/>
          <w:sz w:val="21"/>
          <w:szCs w:val="21"/>
          <w:u w:val="single"/>
          <w:lang w:val="en" w:eastAsia="en-US"/>
        </w:rPr>
      </w:pPr>
    </w:p>
    <w:p w:rsidR="00B656D0" w:rsidRPr="00B656D0" w:rsidRDefault="00B656D0" w:rsidP="00B656D0">
      <w:pPr>
        <w:shd w:val="clear" w:color="auto" w:fill="FFFFFF"/>
        <w:spacing w:line="240" w:lineRule="auto"/>
        <w:ind w:left="0" w:firstLine="0"/>
        <w:rPr>
          <w:rFonts w:ascii="Helvetica" w:hAnsi="Helvetica" w:cs="Helvetica"/>
          <w:sz w:val="21"/>
          <w:szCs w:val="21"/>
          <w:lang w:val="en" w:eastAsia="en-US"/>
        </w:rPr>
      </w:pPr>
    </w:p>
    <w:p w:rsidR="00CA56ED" w:rsidRPr="00296B4C" w:rsidRDefault="00716E4D" w:rsidP="00296B4C">
      <w:pPr>
        <w:spacing w:after="0" w:line="240" w:lineRule="auto"/>
        <w:ind w:left="360" w:right="11" w:firstLine="0"/>
        <w:rPr>
          <w:sz w:val="24"/>
          <w:lang w:val="en-US"/>
        </w:rPr>
      </w:pPr>
      <w:r w:rsidRPr="00296B4C">
        <w:rPr>
          <w:sz w:val="24"/>
          <w:lang w:val="en-US"/>
        </w:rPr>
        <w:t xml:space="preserve">4.1. Research activities that </w:t>
      </w:r>
      <w:r w:rsidRPr="00296B4C">
        <w:rPr>
          <w:b/>
          <w:sz w:val="24"/>
          <w:u w:val="single" w:color="000000"/>
          <w:lang w:val="en-US"/>
        </w:rPr>
        <w:t>do not</w:t>
      </w:r>
      <w:r w:rsidRPr="00296B4C">
        <w:rPr>
          <w:b/>
          <w:sz w:val="24"/>
          <w:lang w:val="en-US"/>
        </w:rPr>
        <w:t xml:space="preserve"> </w:t>
      </w:r>
      <w:r w:rsidRPr="00296B4C">
        <w:rPr>
          <w:sz w:val="24"/>
          <w:lang w:val="en-US"/>
        </w:rPr>
        <w:t xml:space="preserve">constitute Human Participant Research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The Principal Investigator (PI) should consult the Decision Tree entitled “</w:t>
      </w:r>
      <w:r w:rsidRPr="005304F3">
        <w:rPr>
          <w:color w:val="0000FF"/>
          <w:sz w:val="24"/>
          <w:lang w:val="en-US"/>
        </w:rPr>
        <w:t>Is your activity covered under the Human Research Protection Program?</w:t>
      </w:r>
      <w:r w:rsidRPr="00296B4C">
        <w:rPr>
          <w:sz w:val="24"/>
          <w:lang w:val="en-US"/>
        </w:rPr>
        <w:t xml:space="preserve">” or </w:t>
      </w:r>
      <w:r w:rsidR="00B656D0" w:rsidRPr="00296B4C">
        <w:rPr>
          <w:sz w:val="24"/>
          <w:lang w:val="en-US"/>
        </w:rPr>
        <w:t>consult with</w:t>
      </w:r>
      <w:r w:rsidRPr="00296B4C">
        <w:rPr>
          <w:sz w:val="24"/>
          <w:lang w:val="en-US"/>
        </w:rPr>
        <w:t xml:space="preserve"> </w:t>
      </w:r>
      <w:r w:rsidR="0001475C">
        <w:rPr>
          <w:sz w:val="24"/>
          <w:lang w:val="en-US"/>
        </w:rPr>
        <w:t>IRB</w:t>
      </w:r>
      <w:r w:rsidRPr="00296B4C">
        <w:rPr>
          <w:sz w:val="24"/>
          <w:lang w:val="en-US"/>
        </w:rPr>
        <w:t xml:space="preserve"> to determine whether the research activity does or does not constitute human participant research.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If the PI determines that the research activity does not involve human participant research, s/he may initiate the project</w:t>
      </w:r>
      <w:r w:rsidRPr="00296B4C">
        <w:rPr>
          <w:strike/>
          <w:sz w:val="24"/>
          <w:lang w:val="en-US"/>
        </w:rPr>
        <w:t xml:space="preserve"> </w:t>
      </w:r>
      <w:r w:rsidRPr="00296B4C">
        <w:rPr>
          <w:sz w:val="24"/>
          <w:lang w:val="en-US"/>
        </w:rPr>
        <w:t>without seeking approval from t</w:t>
      </w:r>
      <w:r w:rsidR="0001475C">
        <w:rPr>
          <w:sz w:val="24"/>
          <w:lang w:val="en-US"/>
        </w:rPr>
        <w:t>he IRB</w:t>
      </w:r>
      <w:r w:rsidRPr="00296B4C">
        <w:rPr>
          <w:sz w:val="24"/>
          <w:lang w:val="en-US"/>
        </w:rPr>
        <w:t xml:space="preserve">, and is not required to complete the CITI Human Participant training.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For each change that is proposed or occurs during the execution of the research, the PI may need to re-c</w:t>
      </w:r>
      <w:r w:rsidR="0001475C">
        <w:rPr>
          <w:sz w:val="24"/>
          <w:lang w:val="en-US"/>
        </w:rPr>
        <w:t>onsult the IRB Decision Tree</w:t>
      </w:r>
      <w:r w:rsidRPr="00296B4C">
        <w:rPr>
          <w:sz w:val="24"/>
          <w:lang w:val="en-US"/>
        </w:rPr>
        <w:t xml:space="preserve"> to determine whether that change affects the classification of the project as “not human participant research.”  </w:t>
      </w:r>
    </w:p>
    <w:p w:rsidR="00CA56ED" w:rsidRPr="00296B4C" w:rsidRDefault="00716E4D" w:rsidP="00296B4C">
      <w:pPr>
        <w:spacing w:after="0" w:line="240" w:lineRule="auto"/>
        <w:ind w:left="720" w:firstLine="0"/>
        <w:rPr>
          <w:sz w:val="24"/>
          <w:lang w:val="en-US"/>
        </w:rPr>
      </w:pPr>
      <w:r w:rsidRPr="00296B4C">
        <w:rPr>
          <w:sz w:val="24"/>
          <w:lang w:val="en-US"/>
        </w:rPr>
        <w:t xml:space="preserve"> </w:t>
      </w:r>
    </w:p>
    <w:p w:rsidR="00CA56ED" w:rsidRPr="00296B4C" w:rsidRDefault="00716E4D" w:rsidP="00296B4C">
      <w:pPr>
        <w:spacing w:after="0" w:line="240" w:lineRule="auto"/>
        <w:ind w:left="360" w:right="11" w:firstLine="0"/>
        <w:rPr>
          <w:sz w:val="24"/>
          <w:lang w:val="en-US"/>
        </w:rPr>
      </w:pPr>
      <w:r w:rsidRPr="00296B4C">
        <w:rPr>
          <w:sz w:val="24"/>
          <w:lang w:val="en-US"/>
        </w:rPr>
        <w:t xml:space="preserve">4.2. Research activities that </w:t>
      </w:r>
      <w:r w:rsidRPr="00296B4C">
        <w:rPr>
          <w:b/>
          <w:sz w:val="24"/>
          <w:u w:val="single" w:color="000000"/>
          <w:lang w:val="en-US"/>
        </w:rPr>
        <w:t>do</w:t>
      </w:r>
      <w:r w:rsidRPr="00296B4C">
        <w:rPr>
          <w:b/>
          <w:sz w:val="24"/>
          <w:lang w:val="en-US"/>
        </w:rPr>
        <w:t xml:space="preserve"> </w:t>
      </w:r>
      <w:r w:rsidRPr="00296B4C">
        <w:rPr>
          <w:sz w:val="24"/>
          <w:lang w:val="en-US"/>
        </w:rPr>
        <w:t xml:space="preserve">constitute Human Participant Research  </w:t>
      </w:r>
    </w:p>
    <w:p w:rsidR="00CA56ED" w:rsidRPr="00296B4C" w:rsidRDefault="00716E4D" w:rsidP="00296B4C">
      <w:pPr>
        <w:spacing w:after="0" w:line="240" w:lineRule="auto"/>
        <w:ind w:left="360" w:firstLine="0"/>
        <w:rPr>
          <w:sz w:val="24"/>
          <w:lang w:val="en-US"/>
        </w:rPr>
      </w:pPr>
      <w:r w:rsidRPr="00296B4C">
        <w:rPr>
          <w:sz w:val="24"/>
          <w:lang w:val="en-US"/>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If the research activity does involve human participant research, the PI must complete and submit to </w:t>
      </w:r>
      <w:r w:rsidR="0001475C">
        <w:rPr>
          <w:sz w:val="24"/>
          <w:lang w:val="en-US"/>
        </w:rPr>
        <w:t>IRB</w:t>
      </w:r>
      <w:r w:rsidRPr="00296B4C">
        <w:rPr>
          <w:sz w:val="24"/>
          <w:lang w:val="en-US"/>
        </w:rPr>
        <w:t xml:space="preserve"> a Request for Exemption from IRB Review Form or an Initial Approval Request Form and instruments required for review, See </w:t>
      </w:r>
      <w:r w:rsidRPr="005304F3">
        <w:rPr>
          <w:color w:val="0000FF"/>
          <w:sz w:val="24"/>
          <w:lang w:val="en-US"/>
        </w:rPr>
        <w:t xml:space="preserve">IRB forms web </w:t>
      </w:r>
      <w:r w:rsidR="00D332D2" w:rsidRPr="005304F3">
        <w:rPr>
          <w:color w:val="0000FF"/>
          <w:sz w:val="24"/>
          <w:lang w:val="en-US"/>
        </w:rPr>
        <w:t>page</w:t>
      </w:r>
      <w:r w:rsidR="00D332D2" w:rsidRPr="00296B4C">
        <w:rPr>
          <w:color w:val="0000FF"/>
          <w:sz w:val="24"/>
          <w:u w:val="single" w:color="0000FF"/>
          <w:lang w:val="en-US"/>
        </w:rPr>
        <w:t xml:space="preserve"> </w:t>
      </w:r>
      <w:r w:rsidR="00D332D2" w:rsidRPr="005304F3">
        <w:rPr>
          <w:sz w:val="24"/>
          <w:lang w:val="en-US"/>
        </w:rPr>
        <w:t>and</w:t>
      </w:r>
      <w:r w:rsidRPr="005304F3">
        <w:rPr>
          <w:sz w:val="24"/>
          <w:lang w:val="en-US"/>
        </w:rPr>
        <w:t xml:space="preserve"> </w:t>
      </w:r>
      <w:r w:rsidRPr="005304F3">
        <w:rPr>
          <w:color w:val="0000FF"/>
          <w:sz w:val="24"/>
          <w:lang w:val="en-US"/>
        </w:rPr>
        <w:t>IRB Policies 2 and/or 3</w:t>
      </w:r>
      <w:r w:rsidRPr="00296B4C">
        <w:rPr>
          <w:sz w:val="24"/>
          <w:lang w:val="en-US"/>
        </w:rPr>
        <w:t xml:space="preserve"> for the submission requirements.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No research activities may begin until the PI receives a written letter of IRB approval or notice of exemption for the protocol from </w:t>
      </w:r>
      <w:r w:rsidR="0001475C">
        <w:rPr>
          <w:sz w:val="24"/>
          <w:lang w:val="en-US"/>
        </w:rPr>
        <w:t>IRB</w:t>
      </w:r>
      <w:r w:rsidRPr="00296B4C">
        <w:rPr>
          <w:sz w:val="24"/>
          <w:lang w:val="en-US"/>
        </w:rPr>
        <w:t xml:space="preserve">.  </w:t>
      </w:r>
    </w:p>
    <w:p w:rsidR="00CA56ED" w:rsidRPr="00296B4C" w:rsidRDefault="00716E4D" w:rsidP="00296B4C">
      <w:pPr>
        <w:spacing w:after="0" w:line="240" w:lineRule="auto"/>
        <w:ind w:left="1080" w:firstLine="0"/>
        <w:rPr>
          <w:sz w:val="24"/>
          <w:lang w:val="en-US"/>
        </w:rPr>
      </w:pPr>
      <w:r w:rsidRPr="00296B4C">
        <w:rPr>
          <w:sz w:val="24"/>
          <w:lang w:val="en-US"/>
        </w:rPr>
        <w:t xml:space="preserve"> </w:t>
      </w:r>
    </w:p>
    <w:p w:rsidR="00CA56ED" w:rsidRPr="00296B4C" w:rsidRDefault="00716E4D" w:rsidP="00296B4C">
      <w:pPr>
        <w:spacing w:after="0" w:line="240" w:lineRule="auto"/>
        <w:ind w:left="360" w:right="11" w:firstLine="0"/>
        <w:rPr>
          <w:sz w:val="24"/>
          <w:lang w:val="en-US"/>
        </w:rPr>
      </w:pPr>
      <w:r w:rsidRPr="00296B4C">
        <w:rPr>
          <w:sz w:val="24"/>
          <w:lang w:val="en-US"/>
        </w:rPr>
        <w:t xml:space="preserve">4.3. Research activities that are eligible for Exemption from IRB Review  </w:t>
      </w:r>
    </w:p>
    <w:p w:rsidR="00CA56ED" w:rsidRPr="00296B4C" w:rsidRDefault="00716E4D" w:rsidP="00296B4C">
      <w:pPr>
        <w:spacing w:after="0" w:line="240" w:lineRule="auto"/>
        <w:ind w:left="360" w:firstLine="0"/>
        <w:rPr>
          <w:sz w:val="24"/>
          <w:lang w:val="en-US"/>
        </w:rPr>
      </w:pPr>
      <w:r w:rsidRPr="00296B4C">
        <w:rPr>
          <w:sz w:val="24"/>
          <w:lang w:val="en-US"/>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If </w:t>
      </w:r>
      <w:r w:rsidR="0001475C">
        <w:rPr>
          <w:sz w:val="24"/>
          <w:lang w:val="en-US"/>
        </w:rPr>
        <w:t>IRB</w:t>
      </w:r>
      <w:r w:rsidRPr="00296B4C">
        <w:rPr>
          <w:sz w:val="24"/>
          <w:lang w:val="en-US"/>
        </w:rPr>
        <w:t xml:space="preserve"> determines </w:t>
      </w:r>
      <w:r w:rsidR="00D72A0E" w:rsidRPr="00296B4C">
        <w:rPr>
          <w:sz w:val="24"/>
          <w:lang w:val="en-US"/>
        </w:rPr>
        <w:t>that,</w:t>
      </w:r>
      <w:r w:rsidRPr="00296B4C">
        <w:rPr>
          <w:sz w:val="24"/>
          <w:lang w:val="en-US"/>
        </w:rPr>
        <w:t xml:space="preserve"> the research project is human participant research but eligible for exemption from IRB review, the IRB Administrator will issue a formal notice of exemption to the PI.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The IRB will archive a copy of this notice and all submission documents until five years after the termination of the research activity.  Also, the PI should maintain these documents for five years after the research activity has concluded and all publication and/or reports have been accepted.</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For each change that is proposed or occurs during the execution of the research activ</w:t>
      </w:r>
      <w:r w:rsidR="0001475C">
        <w:rPr>
          <w:sz w:val="24"/>
          <w:lang w:val="en-US"/>
        </w:rPr>
        <w:t>ity, the PI should consult with IRB</w:t>
      </w:r>
      <w:r w:rsidRPr="00296B4C">
        <w:rPr>
          <w:sz w:val="24"/>
          <w:lang w:val="en-US"/>
        </w:rPr>
        <w:t xml:space="preserve"> to determine if the change affects the eligibility of the research activity to continue to be exempt from IRB review and approval.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Consult </w:t>
      </w:r>
      <w:r w:rsidRPr="005304F3">
        <w:rPr>
          <w:color w:val="0000FF"/>
          <w:sz w:val="24"/>
          <w:lang w:val="en-US"/>
        </w:rPr>
        <w:t>IRB Policy 2: Determining Research Eligible for Exemption from IRB Review</w:t>
      </w:r>
      <w:r w:rsidRPr="00296B4C">
        <w:rPr>
          <w:sz w:val="24"/>
          <w:lang w:val="en-US"/>
        </w:rPr>
        <w:t xml:space="preserve">, for requirements and procedures for review and continuing approval of requests for exemption.  </w:t>
      </w:r>
    </w:p>
    <w:p w:rsidR="00CA56ED" w:rsidRPr="00296B4C" w:rsidRDefault="00716E4D" w:rsidP="00296B4C">
      <w:pPr>
        <w:spacing w:after="0" w:line="240" w:lineRule="auto"/>
        <w:ind w:left="1080" w:firstLine="0"/>
        <w:rPr>
          <w:sz w:val="24"/>
          <w:lang w:val="en-US"/>
        </w:rPr>
      </w:pPr>
      <w:r w:rsidRPr="00296B4C">
        <w:rPr>
          <w:sz w:val="24"/>
          <w:lang w:val="en-US"/>
        </w:rPr>
        <w:t xml:space="preserve"> </w:t>
      </w:r>
    </w:p>
    <w:p w:rsidR="00CA56ED" w:rsidRPr="00296B4C" w:rsidRDefault="00716E4D" w:rsidP="00296B4C">
      <w:pPr>
        <w:spacing w:after="0" w:line="240" w:lineRule="auto"/>
        <w:ind w:left="360" w:right="11" w:firstLine="0"/>
        <w:rPr>
          <w:sz w:val="24"/>
          <w:lang w:val="en-US"/>
        </w:rPr>
      </w:pPr>
      <w:r w:rsidRPr="00296B4C">
        <w:rPr>
          <w:sz w:val="24"/>
          <w:lang w:val="en-US"/>
        </w:rPr>
        <w:t xml:space="preserve">4.4 Research activities that require IRB Review and Approval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For research activities that are determined to require IRB review and approval, </w:t>
      </w:r>
      <w:r w:rsidR="0001475C">
        <w:rPr>
          <w:sz w:val="24"/>
          <w:lang w:val="en-US"/>
        </w:rPr>
        <w:t>IRB</w:t>
      </w:r>
      <w:r w:rsidRPr="00296B4C">
        <w:rPr>
          <w:sz w:val="24"/>
          <w:lang w:val="en-US"/>
        </w:rPr>
        <w:t xml:space="preserve"> staff will review applications and instruments for completeness and consistency, and will also confirm completion of Human Participant Research training requirements</w:t>
      </w:r>
      <w:r w:rsidR="0001475C">
        <w:rPr>
          <w:sz w:val="24"/>
          <w:lang w:val="en-US"/>
        </w:rPr>
        <w:t>,</w:t>
      </w:r>
      <w:r w:rsidRPr="00296B4C">
        <w:rPr>
          <w:sz w:val="24"/>
          <w:lang w:val="en-US"/>
        </w:rPr>
        <w:t xml:space="preserve"> then forward the materials to the IRB for review and approval via the </w:t>
      </w:r>
      <w:r w:rsidRPr="005304F3">
        <w:rPr>
          <w:color w:val="0000FF"/>
          <w:sz w:val="24"/>
          <w:lang w:val="en-US"/>
        </w:rPr>
        <w:t>Expedited Review Process</w:t>
      </w:r>
      <w:r w:rsidRPr="00296B4C">
        <w:rPr>
          <w:sz w:val="24"/>
          <w:lang w:val="en-US"/>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t xml:space="preserve">Research activities that do not qualify for expedited review will undergo Full Committee Review. </w:t>
      </w:r>
    </w:p>
    <w:p w:rsidR="00CA56ED" w:rsidRPr="00296B4C" w:rsidRDefault="00716E4D" w:rsidP="00296B4C">
      <w:pPr>
        <w:numPr>
          <w:ilvl w:val="0"/>
          <w:numId w:val="2"/>
        </w:numPr>
        <w:spacing w:after="0" w:line="240" w:lineRule="auto"/>
        <w:ind w:right="11" w:hanging="360"/>
        <w:rPr>
          <w:sz w:val="24"/>
        </w:rPr>
      </w:pPr>
      <w:r w:rsidRPr="00296B4C">
        <w:rPr>
          <w:sz w:val="24"/>
          <w:lang w:val="en-US"/>
        </w:rPr>
        <w:t xml:space="preserve">All personnel named on the protocol must complete the CITI human participant training </w:t>
      </w:r>
      <w:r w:rsidRPr="00296B4C">
        <w:rPr>
          <w:i/>
          <w:sz w:val="24"/>
          <w:lang w:val="en-US"/>
        </w:rPr>
        <w:t>before</w:t>
      </w:r>
      <w:r w:rsidRPr="00296B4C">
        <w:rPr>
          <w:sz w:val="24"/>
          <w:lang w:val="en-US"/>
        </w:rPr>
        <w:t xml:space="preserve"> the IRB can approve the protocol. </w:t>
      </w:r>
      <w:r w:rsidRPr="00296B4C">
        <w:rPr>
          <w:sz w:val="24"/>
        </w:rPr>
        <w:t xml:space="preserve">Consult the </w:t>
      </w:r>
      <w:r w:rsidR="00C81DC5" w:rsidRPr="005304F3">
        <w:rPr>
          <w:color w:val="0000FF"/>
          <w:sz w:val="24"/>
        </w:rPr>
        <w:t>IRB training</w:t>
      </w:r>
      <w:r w:rsidR="00671400" w:rsidRPr="005304F3">
        <w:rPr>
          <w:color w:val="0000FF"/>
          <w:sz w:val="24"/>
        </w:rPr>
        <w:t xml:space="preserve"> </w:t>
      </w:r>
      <w:r w:rsidR="00D867C7" w:rsidRPr="005304F3">
        <w:rPr>
          <w:color w:val="0000FF"/>
          <w:sz w:val="24"/>
        </w:rPr>
        <w:t>sites</w:t>
      </w:r>
      <w:r w:rsidRPr="00296B4C">
        <w:rPr>
          <w:sz w:val="24"/>
        </w:rPr>
        <w:t xml:space="preserve">. </w:t>
      </w:r>
    </w:p>
    <w:p w:rsidR="00CA56ED" w:rsidRPr="00296B4C" w:rsidRDefault="00716E4D" w:rsidP="00296B4C">
      <w:pPr>
        <w:numPr>
          <w:ilvl w:val="0"/>
          <w:numId w:val="2"/>
        </w:numPr>
        <w:spacing w:after="0" w:line="240" w:lineRule="auto"/>
        <w:ind w:right="11" w:hanging="360"/>
        <w:rPr>
          <w:sz w:val="24"/>
          <w:lang w:val="en-US"/>
        </w:rPr>
      </w:pPr>
      <w:r w:rsidRPr="00296B4C">
        <w:rPr>
          <w:sz w:val="24"/>
          <w:lang w:val="en-US"/>
        </w:rPr>
        <w:lastRenderedPageBreak/>
        <w:t xml:space="preserve">Consult </w:t>
      </w:r>
      <w:r w:rsidRPr="005304F3">
        <w:rPr>
          <w:color w:val="0000FF"/>
          <w:sz w:val="24"/>
          <w:lang w:val="en-US"/>
        </w:rPr>
        <w:t>Policy 3: Expedited and Full Committee Review Procedures</w:t>
      </w:r>
      <w:r w:rsidRPr="00296B4C">
        <w:rPr>
          <w:sz w:val="24"/>
          <w:lang w:val="en-US"/>
        </w:rPr>
        <w:t xml:space="preserve"> for requirements and procedures for review and continuing approval of applications to the IRB.  </w:t>
      </w:r>
    </w:p>
    <w:p w:rsidR="00CA56ED" w:rsidRPr="00296B4C" w:rsidRDefault="00716E4D" w:rsidP="00296B4C">
      <w:pPr>
        <w:spacing w:after="0" w:line="240" w:lineRule="auto"/>
        <w:ind w:left="720" w:firstLine="0"/>
        <w:rPr>
          <w:sz w:val="24"/>
          <w:lang w:val="en-US"/>
        </w:rPr>
      </w:pPr>
      <w:r w:rsidRPr="00296B4C">
        <w:rPr>
          <w:sz w:val="24"/>
          <w:lang w:val="en-US"/>
        </w:rPr>
        <w:t xml:space="preserve"> </w:t>
      </w:r>
    </w:p>
    <w:p w:rsidR="00CA56ED" w:rsidRPr="00296B4C" w:rsidRDefault="00716E4D" w:rsidP="00296B4C">
      <w:pPr>
        <w:pStyle w:val="Heading2"/>
        <w:spacing w:after="0" w:line="240" w:lineRule="auto"/>
        <w:ind w:left="-5"/>
        <w:rPr>
          <w:sz w:val="24"/>
          <w:lang w:val="en-US"/>
        </w:rPr>
      </w:pPr>
      <w:r w:rsidRPr="00296B4C">
        <w:rPr>
          <w:sz w:val="24"/>
          <w:lang w:val="en-US"/>
        </w:rPr>
        <w:t xml:space="preserve">5. Regulations and Guidance Applicable to Human Participant Research Determination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360" w:right="11" w:firstLine="0"/>
        <w:rPr>
          <w:sz w:val="24"/>
        </w:rPr>
      </w:pPr>
      <w:r w:rsidRPr="00296B4C">
        <w:rPr>
          <w:sz w:val="24"/>
        </w:rPr>
        <w:t xml:space="preserve">5.1. Federal Regulations  </w:t>
      </w:r>
    </w:p>
    <w:p w:rsidR="00CA56ED" w:rsidRPr="00296B4C" w:rsidRDefault="00716E4D" w:rsidP="00296B4C">
      <w:pPr>
        <w:spacing w:after="0" w:line="240" w:lineRule="auto"/>
        <w:ind w:left="360" w:firstLine="0"/>
        <w:rPr>
          <w:sz w:val="24"/>
        </w:rPr>
      </w:pPr>
      <w:r w:rsidRPr="00296B4C">
        <w:rPr>
          <w:sz w:val="24"/>
        </w:rPr>
        <w:t xml:space="preserve"> </w:t>
      </w:r>
    </w:p>
    <w:p w:rsidR="00CA56ED" w:rsidRPr="00296B4C" w:rsidRDefault="00716E4D" w:rsidP="00296B4C">
      <w:pPr>
        <w:numPr>
          <w:ilvl w:val="0"/>
          <w:numId w:val="3"/>
        </w:numPr>
        <w:spacing w:after="0" w:line="240" w:lineRule="auto"/>
        <w:ind w:right="11" w:hanging="360"/>
        <w:rPr>
          <w:sz w:val="24"/>
          <w:lang w:val="en-US"/>
        </w:rPr>
      </w:pPr>
      <w:r>
        <w:rPr>
          <w:sz w:val="24"/>
          <w:lang w:val="en-US"/>
        </w:rPr>
        <w:t>CCC-UPR</w:t>
      </w:r>
      <w:r w:rsidR="00E81BF6" w:rsidRPr="00296B4C">
        <w:rPr>
          <w:sz w:val="24"/>
          <w:lang w:val="en-US"/>
        </w:rPr>
        <w:t xml:space="preserve"> has filed a FederalWide Assurance (FWA) with the Office for Human Research Protections (OHRP) of the U.S. Department of Health &amp; Human Services guaranteeing its application of the federal policy for the protection of human participants in 45 CFR 46 when engaging in human participant research funded by the Public Health Service (PHS). By institutional policy, the same standards apply to all human participant research, regardless of funding support. </w:t>
      </w:r>
      <w:r>
        <w:rPr>
          <w:sz w:val="24"/>
          <w:lang w:val="en-US"/>
        </w:rPr>
        <w:t>CCC-UPR</w:t>
      </w:r>
      <w:r w:rsidR="00E81BF6" w:rsidRPr="00296B4C">
        <w:rPr>
          <w:sz w:val="24"/>
          <w:lang w:val="en-US"/>
        </w:rPr>
        <w:t xml:space="preserve">’s appointment of an appropriately constituted IRB is included in the FWA.  </w:t>
      </w:r>
    </w:p>
    <w:p w:rsidR="00CA56ED" w:rsidRPr="00296B4C" w:rsidRDefault="00716E4D" w:rsidP="00296B4C">
      <w:pPr>
        <w:numPr>
          <w:ilvl w:val="0"/>
          <w:numId w:val="3"/>
        </w:numPr>
        <w:spacing w:after="0" w:line="240" w:lineRule="auto"/>
        <w:ind w:right="11" w:hanging="360"/>
        <w:rPr>
          <w:sz w:val="24"/>
          <w:lang w:val="en-US"/>
        </w:rPr>
      </w:pPr>
      <w:r w:rsidRPr="00296B4C">
        <w:rPr>
          <w:sz w:val="24"/>
          <w:lang w:val="en-US"/>
        </w:rPr>
        <w:t xml:space="preserve">Requirement for IRB review and approval of human participant research before its initiation: 45 (Code of Federal Regulations (CFR)) 46.108(b)  </w:t>
      </w:r>
    </w:p>
    <w:p w:rsidR="00CA56ED" w:rsidRPr="00296B4C" w:rsidRDefault="00716E4D" w:rsidP="00296B4C">
      <w:pPr>
        <w:numPr>
          <w:ilvl w:val="0"/>
          <w:numId w:val="3"/>
        </w:numPr>
        <w:spacing w:after="0" w:line="240" w:lineRule="auto"/>
        <w:ind w:right="11" w:hanging="360"/>
        <w:rPr>
          <w:sz w:val="24"/>
          <w:lang w:val="en-US"/>
        </w:rPr>
      </w:pPr>
      <w:r w:rsidRPr="00296B4C">
        <w:rPr>
          <w:sz w:val="24"/>
          <w:lang w:val="en-US"/>
        </w:rPr>
        <w:t xml:space="preserve">Definitions of human participant research: 45 CFR 46.101-103.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360" w:right="11" w:firstLine="0"/>
        <w:rPr>
          <w:sz w:val="24"/>
        </w:rPr>
      </w:pPr>
      <w:r w:rsidRPr="00296B4C">
        <w:rPr>
          <w:sz w:val="24"/>
        </w:rPr>
        <w:t xml:space="preserve">5.2. Ethical Codes  </w:t>
      </w:r>
    </w:p>
    <w:p w:rsidR="00CA56ED" w:rsidRPr="00296B4C" w:rsidRDefault="00716E4D" w:rsidP="00296B4C">
      <w:pPr>
        <w:spacing w:after="0" w:line="240" w:lineRule="auto"/>
        <w:ind w:left="360" w:firstLine="0"/>
        <w:rPr>
          <w:sz w:val="24"/>
        </w:rPr>
      </w:pPr>
      <w:r w:rsidRPr="00296B4C">
        <w:rPr>
          <w:sz w:val="24"/>
        </w:rPr>
        <w:t xml:space="preserve"> </w:t>
      </w:r>
    </w:p>
    <w:p w:rsidR="00CA56ED" w:rsidRPr="00296B4C" w:rsidRDefault="00716E4D" w:rsidP="00296B4C">
      <w:pPr>
        <w:numPr>
          <w:ilvl w:val="0"/>
          <w:numId w:val="3"/>
        </w:numPr>
        <w:spacing w:after="0" w:line="240" w:lineRule="auto"/>
        <w:ind w:right="11" w:hanging="360"/>
        <w:rPr>
          <w:sz w:val="24"/>
        </w:rPr>
      </w:pPr>
      <w:r w:rsidRPr="00296B4C">
        <w:rPr>
          <w:sz w:val="24"/>
        </w:rPr>
        <w:t xml:space="preserve">The Nuremberg Code (1948)  </w:t>
      </w:r>
    </w:p>
    <w:p w:rsidR="00CA56ED" w:rsidRPr="00296B4C" w:rsidRDefault="00716E4D" w:rsidP="00296B4C">
      <w:pPr>
        <w:numPr>
          <w:ilvl w:val="0"/>
          <w:numId w:val="3"/>
        </w:numPr>
        <w:spacing w:after="0" w:line="240" w:lineRule="auto"/>
        <w:ind w:right="11" w:hanging="360"/>
        <w:rPr>
          <w:sz w:val="24"/>
        </w:rPr>
      </w:pPr>
      <w:r w:rsidRPr="00296B4C">
        <w:rPr>
          <w:sz w:val="24"/>
        </w:rPr>
        <w:t xml:space="preserve">The Belmont Report (1974)  </w:t>
      </w:r>
    </w:p>
    <w:p w:rsidR="00CA56ED" w:rsidRPr="00296B4C" w:rsidRDefault="00716E4D" w:rsidP="00296B4C">
      <w:pPr>
        <w:numPr>
          <w:ilvl w:val="0"/>
          <w:numId w:val="3"/>
        </w:numPr>
        <w:spacing w:after="0" w:line="240" w:lineRule="auto"/>
        <w:ind w:right="11" w:hanging="360"/>
        <w:rPr>
          <w:sz w:val="24"/>
          <w:lang w:val="en-US"/>
        </w:rPr>
      </w:pPr>
      <w:r w:rsidRPr="00296B4C">
        <w:rPr>
          <w:sz w:val="24"/>
          <w:lang w:val="en-US"/>
        </w:rPr>
        <w:t>Declaration o</w:t>
      </w:r>
      <w:r w:rsidR="0037238E">
        <w:rPr>
          <w:sz w:val="24"/>
          <w:lang w:val="en-US"/>
        </w:rPr>
        <w:t>f Helsinki (last revised in 2013</w:t>
      </w:r>
      <w:r w:rsidRPr="00296B4C">
        <w:rPr>
          <w:sz w:val="24"/>
          <w:lang w:val="en-US"/>
        </w:rPr>
        <w:t xml:space="preserve">)  </w:t>
      </w:r>
    </w:p>
    <w:p w:rsidR="00CA56ED" w:rsidRPr="00296B4C" w:rsidRDefault="00716E4D" w:rsidP="00296B4C">
      <w:pPr>
        <w:spacing w:after="0" w:line="240" w:lineRule="auto"/>
        <w:ind w:left="0" w:firstLine="0"/>
        <w:rPr>
          <w:sz w:val="24"/>
          <w:lang w:val="en-US"/>
        </w:rPr>
      </w:pPr>
      <w:r w:rsidRPr="00296B4C">
        <w:rPr>
          <w:i/>
          <w:sz w:val="24"/>
          <w:lang w:val="en-US"/>
        </w:rPr>
        <w:t xml:space="preserve"> </w:t>
      </w:r>
    </w:p>
    <w:p w:rsidR="00CA56ED" w:rsidRPr="00296B4C" w:rsidRDefault="00716E4D" w:rsidP="00296B4C">
      <w:pPr>
        <w:spacing w:after="0" w:line="240" w:lineRule="auto"/>
        <w:ind w:left="0" w:firstLine="0"/>
        <w:rPr>
          <w:sz w:val="24"/>
          <w:lang w:val="en-US"/>
        </w:rPr>
      </w:pPr>
      <w:r w:rsidRPr="00296B4C">
        <w:rPr>
          <w:i/>
          <w:sz w:val="24"/>
          <w:lang w:val="en-US"/>
        </w:rPr>
        <w:tab/>
        <w:t xml:space="preserve"> </w:t>
      </w:r>
    </w:p>
    <w:p w:rsidR="00CA56ED" w:rsidRPr="00296B4C" w:rsidRDefault="00716E4D" w:rsidP="00296B4C">
      <w:pPr>
        <w:pStyle w:val="Heading1"/>
        <w:spacing w:line="240" w:lineRule="auto"/>
        <w:ind w:right="1389"/>
        <w:rPr>
          <w:sz w:val="36"/>
          <w:lang w:val="en-US"/>
        </w:rPr>
      </w:pPr>
      <w:r w:rsidRPr="00296B4C">
        <w:rPr>
          <w:sz w:val="36"/>
          <w:lang w:val="en-US"/>
        </w:rPr>
        <w:t>Addendum</w:t>
      </w:r>
      <w:r w:rsidRPr="00296B4C">
        <w:rPr>
          <w:sz w:val="36"/>
          <w:u w:val="none"/>
          <w:lang w:val="en-US"/>
        </w:rPr>
        <w:t xml:space="preserve"> </w:t>
      </w:r>
    </w:p>
    <w:p w:rsidR="00CA56ED" w:rsidRPr="00296B4C" w:rsidRDefault="00716E4D" w:rsidP="00296B4C">
      <w:pPr>
        <w:spacing w:after="0" w:line="240" w:lineRule="auto"/>
        <w:ind w:left="17" w:right="1" w:hanging="10"/>
        <w:jc w:val="center"/>
        <w:rPr>
          <w:sz w:val="24"/>
          <w:lang w:val="en-US"/>
        </w:rPr>
      </w:pPr>
      <w:r w:rsidRPr="00296B4C">
        <w:rPr>
          <w:b/>
          <w:sz w:val="24"/>
          <w:u w:val="single" w:color="000000"/>
          <w:lang w:val="en-US"/>
        </w:rPr>
        <w:t>I</w:t>
      </w:r>
      <w:r w:rsidRPr="00296B4C">
        <w:rPr>
          <w:b/>
          <w:u w:val="single" w:color="000000"/>
          <w:lang w:val="en-US"/>
        </w:rPr>
        <w:t xml:space="preserve">NVESTIGATOR </w:t>
      </w:r>
      <w:r w:rsidRPr="00296B4C">
        <w:rPr>
          <w:b/>
          <w:sz w:val="24"/>
          <w:u w:val="single" w:color="000000"/>
          <w:lang w:val="en-US"/>
        </w:rPr>
        <w:t>S</w:t>
      </w:r>
      <w:r w:rsidRPr="00296B4C">
        <w:rPr>
          <w:b/>
          <w:u w:val="single" w:color="000000"/>
          <w:lang w:val="en-US"/>
        </w:rPr>
        <w:t>ELF</w:t>
      </w:r>
      <w:r w:rsidRPr="00296B4C">
        <w:rPr>
          <w:b/>
          <w:sz w:val="24"/>
          <w:u w:val="single" w:color="000000"/>
          <w:lang w:val="en-US"/>
        </w:rPr>
        <w:t>-E</w:t>
      </w:r>
      <w:r w:rsidRPr="00296B4C">
        <w:rPr>
          <w:b/>
          <w:u w:val="single" w:color="000000"/>
          <w:lang w:val="en-US"/>
        </w:rPr>
        <w:t>XPERIMENTATION</w:t>
      </w:r>
      <w:r w:rsidRPr="00296B4C">
        <w:rPr>
          <w:b/>
          <w:sz w:val="24"/>
          <w:lang w:val="en-US"/>
        </w:rPr>
        <w:t xml:space="preserve">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0" w:right="11" w:firstLine="0"/>
        <w:rPr>
          <w:sz w:val="24"/>
          <w:lang w:val="en-US"/>
        </w:rPr>
      </w:pPr>
      <w:r w:rsidRPr="00296B4C">
        <w:rPr>
          <w:sz w:val="24"/>
          <w:lang w:val="en-US"/>
        </w:rPr>
        <w:t>Federal regulations are silent on the matter of researchers who want to participate in their studies. However, the regulations do not distinguish between self-experimentation and research on people who are recruited for a specific project.  As part of its commitment to the protection of the rights and welfare of individuals pa</w:t>
      </w:r>
      <w:r w:rsidR="00B656D0">
        <w:rPr>
          <w:sz w:val="24"/>
          <w:lang w:val="en-US"/>
        </w:rPr>
        <w:t>rticipating in research, CCC-UPR</w:t>
      </w:r>
      <w:r w:rsidRPr="00296B4C">
        <w:rPr>
          <w:sz w:val="24"/>
          <w:lang w:val="en-US"/>
        </w:rPr>
        <w:t xml:space="preserve">'s Human Research Protection Program requires investigators who wish to act as participants in their studies to submit for review and approval following standard procedures outlined in the IRB policies </w:t>
      </w:r>
      <w:r w:rsidRPr="005304F3">
        <w:rPr>
          <w:sz w:val="24"/>
          <w:lang w:val="en-US"/>
        </w:rPr>
        <w:t>(</w:t>
      </w:r>
      <w:r w:rsidR="00C81DC5" w:rsidRPr="005304F3">
        <w:rPr>
          <w:color w:val="0000FF"/>
          <w:sz w:val="24"/>
          <w:lang w:val="en-US"/>
        </w:rPr>
        <w:t>www.irb@ccc</w:t>
      </w:r>
      <w:r w:rsidR="00C17B1D" w:rsidRPr="005304F3">
        <w:rPr>
          <w:color w:val="0000FF"/>
          <w:sz w:val="24"/>
          <w:lang w:val="en-US"/>
        </w:rPr>
        <w:t>upr</w:t>
      </w:r>
      <w:r w:rsidR="005304F3" w:rsidRPr="005304F3">
        <w:rPr>
          <w:color w:val="0000FF"/>
          <w:sz w:val="24"/>
          <w:lang w:val="en-US"/>
        </w:rPr>
        <w:t>.org</w:t>
      </w:r>
      <w:r w:rsidR="00C17B1D" w:rsidRPr="005304F3">
        <w:rPr>
          <w:color w:val="0000FF"/>
          <w:sz w:val="24"/>
          <w:lang w:val="en-US"/>
        </w:rPr>
        <w:t>)</w:t>
      </w:r>
      <w:r w:rsidRPr="005304F3">
        <w:rPr>
          <w:sz w:val="24"/>
          <w:lang w:val="en-US"/>
        </w:rPr>
        <w:t>.</w:t>
      </w:r>
      <w:r w:rsidRPr="00296B4C">
        <w:rPr>
          <w:sz w:val="24"/>
          <w:lang w:val="en-US"/>
        </w:rPr>
        <w:t xml:space="preserve">  </w:t>
      </w:r>
    </w:p>
    <w:p w:rsidR="00CA56ED" w:rsidRPr="00296B4C" w:rsidRDefault="00716E4D" w:rsidP="00296B4C">
      <w:pPr>
        <w:spacing w:after="0" w:line="240" w:lineRule="auto"/>
        <w:ind w:left="0" w:firstLine="0"/>
        <w:rPr>
          <w:sz w:val="24"/>
          <w:lang w:val="en-US"/>
        </w:rPr>
      </w:pPr>
      <w:r w:rsidRPr="00296B4C">
        <w:rPr>
          <w:sz w:val="24"/>
          <w:lang w:val="en-US"/>
        </w:rPr>
        <w:t xml:space="preserve"> </w:t>
      </w:r>
      <w:bookmarkStart w:id="0" w:name="_GoBack"/>
      <w:bookmarkEnd w:id="0"/>
    </w:p>
    <w:p w:rsidR="00CA56ED" w:rsidRPr="00296B4C" w:rsidRDefault="00716E4D" w:rsidP="00296B4C">
      <w:pPr>
        <w:spacing w:after="0" w:line="240" w:lineRule="auto"/>
        <w:ind w:left="0" w:right="11" w:firstLine="0"/>
        <w:rPr>
          <w:sz w:val="24"/>
          <w:lang w:val="en-US"/>
        </w:rPr>
      </w:pPr>
      <w:r w:rsidRPr="00296B4C">
        <w:rPr>
          <w:sz w:val="24"/>
          <w:lang w:val="en-US"/>
        </w:rPr>
        <w:t xml:space="preserve">Though investigator self-experimentation may not raise the common ethical concerns outlined in the </w:t>
      </w:r>
      <w:r w:rsidRPr="005304F3">
        <w:rPr>
          <w:color w:val="auto"/>
          <w:sz w:val="24"/>
          <w:lang w:val="en-US"/>
        </w:rPr>
        <w:t xml:space="preserve">Belmont Report </w:t>
      </w:r>
      <w:r w:rsidRPr="00296B4C">
        <w:rPr>
          <w:sz w:val="24"/>
          <w:lang w:val="en-US"/>
        </w:rPr>
        <w:t>(</w:t>
      </w:r>
      <w:r w:rsidRPr="005304F3">
        <w:rPr>
          <w:color w:val="0000FF"/>
          <w:sz w:val="24"/>
          <w:lang w:val="en-US"/>
        </w:rPr>
        <w:t>http://www.hhs.gov/ohrp/policy/belmont.html</w:t>
      </w:r>
      <w:r w:rsidRPr="00296B4C">
        <w:rPr>
          <w:sz w:val="24"/>
          <w:lang w:val="en-US"/>
        </w:rPr>
        <w:t>), all human research projects should undergo ethical review to assure the safety of people involved and the integrity o</w:t>
      </w:r>
      <w:r w:rsidR="0037238E">
        <w:rPr>
          <w:sz w:val="24"/>
          <w:lang w:val="en-US"/>
        </w:rPr>
        <w:t>f the research at the CCC-UPR</w:t>
      </w:r>
      <w:r w:rsidRPr="00296B4C">
        <w:rPr>
          <w:sz w:val="24"/>
          <w:lang w:val="en-US"/>
        </w:rPr>
        <w:t>. While researchers may be aware of the risks of self</w:t>
      </w:r>
      <w:r w:rsidR="00D332D2" w:rsidRPr="00296B4C">
        <w:rPr>
          <w:sz w:val="24"/>
          <w:lang w:val="en-US"/>
        </w:rPr>
        <w:t>-</w:t>
      </w:r>
      <w:r w:rsidRPr="00296B4C">
        <w:rPr>
          <w:sz w:val="24"/>
          <w:lang w:val="en-US"/>
        </w:rPr>
        <w:t xml:space="preserve">experimentation, they may also be more willing to accept risks that are </w:t>
      </w:r>
      <w:r w:rsidR="0037238E" w:rsidRPr="00296B4C">
        <w:rPr>
          <w:sz w:val="24"/>
          <w:lang w:val="en-US"/>
        </w:rPr>
        <w:t>ill-advised</w:t>
      </w:r>
      <w:r w:rsidRPr="00296B4C">
        <w:rPr>
          <w:sz w:val="24"/>
          <w:lang w:val="en-US"/>
        </w:rPr>
        <w:t xml:space="preserve">. Application for review with the IRB office allows a neutral third party to raise concerns and/or propose measures to promote the welfare of researchers.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0" w:firstLine="0"/>
        <w:rPr>
          <w:sz w:val="24"/>
          <w:lang w:val="en-US"/>
        </w:rPr>
      </w:pPr>
      <w:r w:rsidRPr="00296B4C">
        <w:rPr>
          <w:sz w:val="24"/>
          <w:lang w:val="en-US"/>
        </w:rPr>
        <w:t xml:space="preserve"> </w:t>
      </w:r>
    </w:p>
    <w:p w:rsidR="00CA56ED" w:rsidRPr="00296B4C" w:rsidRDefault="00716E4D" w:rsidP="00296B4C">
      <w:pPr>
        <w:spacing w:after="0" w:line="240" w:lineRule="auto"/>
        <w:ind w:left="0" w:firstLine="0"/>
        <w:rPr>
          <w:sz w:val="24"/>
          <w:lang w:val="en-US"/>
        </w:rPr>
      </w:pPr>
      <w:r w:rsidRPr="00296B4C">
        <w:rPr>
          <w:sz w:val="24"/>
          <w:lang w:val="en-US"/>
        </w:rPr>
        <w:t xml:space="preserve"> </w:t>
      </w:r>
    </w:p>
    <w:sectPr w:rsidR="00CA56ED" w:rsidRPr="00296B4C">
      <w:headerReference w:type="even" r:id="rId10"/>
      <w:headerReference w:type="default" r:id="rId11"/>
      <w:footerReference w:type="even" r:id="rId12"/>
      <w:footerReference w:type="default" r:id="rId13"/>
      <w:headerReference w:type="first" r:id="rId14"/>
      <w:footerReference w:type="first" r:id="rId15"/>
      <w:pgSz w:w="12240" w:h="15840"/>
      <w:pgMar w:top="636" w:right="1014" w:bottom="1754" w:left="1008"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91" w:rsidRDefault="00E50491">
      <w:pPr>
        <w:spacing w:after="0" w:line="240" w:lineRule="auto"/>
      </w:pPr>
      <w:r>
        <w:separator/>
      </w:r>
    </w:p>
  </w:endnote>
  <w:endnote w:type="continuationSeparator" w:id="0">
    <w:p w:rsidR="00E50491" w:rsidRDefault="00E5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ED" w:rsidRPr="00D332D2" w:rsidRDefault="00716E4D">
    <w:pPr>
      <w:spacing w:after="0" w:line="244" w:lineRule="auto"/>
      <w:ind w:left="0" w:right="-7" w:firstLine="0"/>
      <w:rPr>
        <w:lang w:val="en-US"/>
      </w:rP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page">
                <wp:posOffset>76200</wp:posOffset>
              </wp:positionH>
              <wp:positionV relativeFrom="page">
                <wp:posOffset>9268206</wp:posOffset>
              </wp:positionV>
              <wp:extent cx="7620000" cy="16764"/>
              <wp:effectExtent l="0" t="0" r="0" b="0"/>
              <wp:wrapSquare wrapText="bothSides"/>
              <wp:docPr id="3539" name="Group 3539"/>
              <wp:cNvGraphicFramePr/>
              <a:graphic xmlns:a="http://schemas.openxmlformats.org/drawingml/2006/main">
                <a:graphicData uri="http://schemas.microsoft.com/office/word/2010/wordprocessingGroup">
                  <wpg:wgp>
                    <wpg:cNvGrpSpPr/>
                    <wpg:grpSpPr>
                      <a:xfrm>
                        <a:off x="0" y="0"/>
                        <a:ext cx="7620000" cy="16764"/>
                        <a:chOff x="0" y="0"/>
                        <a:chExt cx="7620000" cy="16764"/>
                      </a:xfrm>
                    </wpg:grpSpPr>
                    <wps:wsp>
                      <wps:cNvPr id="3540" name="Shape 3540"/>
                      <wps:cNvSpPr/>
                      <wps:spPr>
                        <a:xfrm>
                          <a:off x="0" y="0"/>
                          <a:ext cx="7620000" cy="16764"/>
                        </a:xfrm>
                        <a:custGeom>
                          <a:avLst/>
                          <a:gdLst/>
                          <a:ahLst/>
                          <a:cxnLst/>
                          <a:rect l="0" t="0" r="0" b="0"/>
                          <a:pathLst>
                            <a:path w="7620000" h="16764">
                              <a:moveTo>
                                <a:pt x="0" y="0"/>
                              </a:moveTo>
                              <a:lnTo>
                                <a:pt x="7620000" y="7620"/>
                              </a:lnTo>
                              <a:lnTo>
                                <a:pt x="7620000" y="16764"/>
                              </a:lnTo>
                              <a:lnTo>
                                <a:pt x="0" y="9144"/>
                              </a:lnTo>
                              <a:lnTo>
                                <a:pt x="0" y="0"/>
                              </a:lnTo>
                              <a:close/>
                            </a:path>
                          </a:pathLst>
                        </a:custGeom>
                        <a:ln w="0">
                          <a:miter lim="127000"/>
                        </a:ln>
                      </wps:spPr>
                      <wps:style>
                        <a:lnRef idx="0">
                          <a:srgbClr val="000000">
                            <a:alpha val="0"/>
                          </a:srgbClr>
                        </a:lnRef>
                        <a:fillRef idx="1">
                          <a:srgbClr val="497EBA"/>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3539" o:spid="_x0000_s2049" style="width:600pt;height:1.3pt;margin-top:729.8pt;margin-left:6pt;mso-position-horizontal-relative:page;mso-position-vertical-relative:page;position:absolute;z-index:251659264" coordsize="76200,167">
              <v:shape id="Shape 3540" o:spid="_x0000_s2050" style="width:76200;height:167;mso-wrap-style:square;position:absolute;visibility:visible;v-text-anchor:top" coordsize="7620000,16764" path="m,l7620000,7620l7620000,16764l,9144,,xe" fillcolor="#497eba" stroked="f">
                <v:stroke joinstyle="miter"/>
                <v:path arrowok="t" textboxrect="0,0,7620000,16764"/>
              </v:shape>
              <w10:wrap type="square"/>
            </v:group>
          </w:pict>
        </mc:Fallback>
      </mc:AlternateContent>
    </w:r>
    <w:r w:rsidRPr="00D332D2">
      <w:rPr>
        <w:lang w:val="en-US"/>
      </w:rPr>
      <w:t xml:space="preserve">For terms and definitions, consult the IRB Glossary at </w:t>
    </w:r>
    <w:r w:rsidRPr="00D332D2">
      <w:rPr>
        <w:color w:val="0000FF"/>
        <w:u w:val="single" w:color="0000FF"/>
        <w:lang w:val="en-US"/>
      </w:rPr>
      <w:t>http://www.irb.</w:t>
    </w:r>
    <w:r w:rsidR="0037238E">
      <w:rPr>
        <w:color w:val="0000FF"/>
        <w:u w:val="single" w:color="0000FF"/>
        <w:lang w:val="en-US"/>
      </w:rPr>
      <w:t>CCC-UPR</w:t>
    </w:r>
    <w:r w:rsidRPr="00D332D2">
      <w:rPr>
        <w:color w:val="0000FF"/>
        <w:u w:val="single" w:color="0000FF"/>
        <w:lang w:val="en-US"/>
      </w:rPr>
      <w:t>.edu/glossary/</w:t>
    </w:r>
    <w:r w:rsidRPr="00D332D2">
      <w:rPr>
        <w:sz w:val="24"/>
        <w:lang w:val="en-US"/>
      </w:rPr>
      <w:t xml:space="preserve"> </w:t>
    </w:r>
    <w:r w:rsidRPr="00D332D2">
      <w:rPr>
        <w:sz w:val="24"/>
        <w:lang w:val="en-US"/>
      </w:rPr>
      <w:tab/>
    </w:r>
    <w:r w:rsidRPr="00D332D2">
      <w:rPr>
        <w:lang w:val="en-US"/>
      </w:rPr>
      <w:t xml:space="preserve">Page </w:t>
    </w:r>
    <w:r>
      <w:fldChar w:fldCharType="begin"/>
    </w:r>
    <w:r w:rsidRPr="00D332D2">
      <w:rPr>
        <w:lang w:val="en-US"/>
      </w:rPr>
      <w:instrText xml:space="preserve"> PAGE   \* MERGEFORMAT </w:instrText>
    </w:r>
    <w:r>
      <w:fldChar w:fldCharType="separate"/>
    </w:r>
    <w:r w:rsidRPr="00D332D2">
      <w:rPr>
        <w:lang w:val="en-US"/>
      </w:rPr>
      <w:t>1</w:t>
    </w:r>
    <w:r>
      <w:fldChar w:fldCharType="end"/>
    </w:r>
    <w:r w:rsidRPr="00D332D2">
      <w:rPr>
        <w:sz w:val="24"/>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29087"/>
      <w:docPartObj>
        <w:docPartGallery w:val="Page Numbers (Bottom of Page)"/>
        <w:docPartUnique/>
      </w:docPartObj>
    </w:sdtPr>
    <w:sdtEndPr/>
    <w:sdtContent>
      <w:sdt>
        <w:sdtPr>
          <w:id w:val="-1769616900"/>
          <w:docPartObj>
            <w:docPartGallery w:val="Page Numbers (Top of Page)"/>
            <w:docPartUnique/>
          </w:docPartObj>
        </w:sdtPr>
        <w:sdtEndPr/>
        <w:sdtContent>
          <w:p w:rsidR="00FC7AA7" w:rsidRDefault="00716E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15F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15FF">
              <w:rPr>
                <w:b/>
                <w:bCs/>
                <w:noProof/>
              </w:rPr>
              <w:t>4</w:t>
            </w:r>
            <w:r>
              <w:rPr>
                <w:b/>
                <w:bCs/>
                <w:sz w:val="24"/>
                <w:szCs w:val="24"/>
              </w:rPr>
              <w:fldChar w:fldCharType="end"/>
            </w:r>
          </w:p>
        </w:sdtContent>
      </w:sdt>
    </w:sdtContent>
  </w:sdt>
  <w:p w:rsidR="00297A2D" w:rsidRPr="00297A2D" w:rsidRDefault="00716E4D" w:rsidP="00297A2D">
    <w:pPr>
      <w:tabs>
        <w:tab w:val="center" w:pos="4680"/>
        <w:tab w:val="right" w:pos="9360"/>
      </w:tabs>
      <w:spacing w:after="0" w:line="240" w:lineRule="auto"/>
      <w:ind w:left="10" w:hanging="10"/>
      <w:rPr>
        <w:sz w:val="16"/>
        <w:lang w:val="en-US" w:eastAsia="en-US"/>
      </w:rPr>
    </w:pPr>
    <w:r w:rsidRPr="00297A2D">
      <w:rPr>
        <w:sz w:val="16"/>
        <w:lang w:val="en-US" w:eastAsia="en-US"/>
      </w:rPr>
      <w:t>CCC-UPR IRB</w:t>
    </w:r>
  </w:p>
  <w:p w:rsidR="00CA56ED" w:rsidRPr="00297A2D" w:rsidRDefault="00716E4D" w:rsidP="00296B4C">
    <w:pPr>
      <w:pStyle w:val="Footer"/>
      <w:rPr>
        <w:rFonts w:ascii="Times New Roman" w:hAnsi="Times New Roman"/>
        <w:sz w:val="16"/>
      </w:rPr>
    </w:pPr>
    <w:r w:rsidRPr="00297A2D">
      <w:rPr>
        <w:rFonts w:ascii="Times New Roman" w:hAnsi="Times New Roman"/>
        <w:sz w:val="16"/>
      </w:rPr>
      <w:t>Policy 1</w:t>
    </w:r>
  </w:p>
  <w:p w:rsidR="00FC7AA7" w:rsidRPr="00297A2D" w:rsidRDefault="00716E4D" w:rsidP="00296B4C">
    <w:pPr>
      <w:pStyle w:val="Footer"/>
      <w:rPr>
        <w:rFonts w:ascii="Times New Roman" w:hAnsi="Times New Roman"/>
        <w:sz w:val="16"/>
      </w:rPr>
    </w:pPr>
    <w:r w:rsidRPr="00297A2D">
      <w:rPr>
        <w:rFonts w:ascii="Times New Roman" w:hAnsi="Times New Roman"/>
        <w:sz w:val="16"/>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ED" w:rsidRPr="00D332D2" w:rsidRDefault="00716E4D">
    <w:pPr>
      <w:spacing w:after="0" w:line="244" w:lineRule="auto"/>
      <w:ind w:left="0" w:right="-7" w:firstLine="0"/>
      <w:rPr>
        <w:lang w:val="en-US"/>
      </w:rPr>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simplePos x="0" y="0"/>
              <wp:positionH relativeFrom="page">
                <wp:posOffset>76200</wp:posOffset>
              </wp:positionH>
              <wp:positionV relativeFrom="page">
                <wp:posOffset>9268206</wp:posOffset>
              </wp:positionV>
              <wp:extent cx="7620000" cy="16764"/>
              <wp:effectExtent l="0" t="0" r="0" b="0"/>
              <wp:wrapSquare wrapText="bothSides"/>
              <wp:docPr id="3507" name="Group 3507"/>
              <wp:cNvGraphicFramePr/>
              <a:graphic xmlns:a="http://schemas.openxmlformats.org/drawingml/2006/main">
                <a:graphicData uri="http://schemas.microsoft.com/office/word/2010/wordprocessingGroup">
                  <wpg:wgp>
                    <wpg:cNvGrpSpPr/>
                    <wpg:grpSpPr>
                      <a:xfrm>
                        <a:off x="0" y="0"/>
                        <a:ext cx="7620000" cy="16764"/>
                        <a:chOff x="0" y="0"/>
                        <a:chExt cx="7620000" cy="16764"/>
                      </a:xfrm>
                    </wpg:grpSpPr>
                    <wps:wsp>
                      <wps:cNvPr id="3508" name="Shape 3508"/>
                      <wps:cNvSpPr/>
                      <wps:spPr>
                        <a:xfrm>
                          <a:off x="0" y="0"/>
                          <a:ext cx="7620000" cy="16764"/>
                        </a:xfrm>
                        <a:custGeom>
                          <a:avLst/>
                          <a:gdLst/>
                          <a:ahLst/>
                          <a:cxnLst/>
                          <a:rect l="0" t="0" r="0" b="0"/>
                          <a:pathLst>
                            <a:path w="7620000" h="16764">
                              <a:moveTo>
                                <a:pt x="0" y="0"/>
                              </a:moveTo>
                              <a:lnTo>
                                <a:pt x="7620000" y="7620"/>
                              </a:lnTo>
                              <a:lnTo>
                                <a:pt x="7620000" y="16764"/>
                              </a:lnTo>
                              <a:lnTo>
                                <a:pt x="0" y="9144"/>
                              </a:lnTo>
                              <a:lnTo>
                                <a:pt x="0" y="0"/>
                              </a:lnTo>
                              <a:close/>
                            </a:path>
                          </a:pathLst>
                        </a:custGeom>
                        <a:ln w="0">
                          <a:miter lim="127000"/>
                        </a:ln>
                      </wps:spPr>
                      <wps:style>
                        <a:lnRef idx="0">
                          <a:srgbClr val="000000">
                            <a:alpha val="0"/>
                          </a:srgbClr>
                        </a:lnRef>
                        <a:fillRef idx="1">
                          <a:srgbClr val="497EBA"/>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3507" o:spid="_x0000_s2051" style="width:600pt;height:1.3pt;margin-top:729.8pt;margin-left:6pt;mso-position-horizontal-relative:page;mso-position-vertical-relative:page;position:absolute;z-index:251661312" coordsize="76200,167">
              <v:shape id="Shape 3508" o:spid="_x0000_s2052" style="width:76200;height:167;mso-wrap-style:square;position:absolute;visibility:visible;v-text-anchor:top" coordsize="7620000,16764" path="m,l7620000,7620l7620000,16764l,9144,,xe" fillcolor="#497eba" stroked="f">
                <v:stroke joinstyle="miter"/>
                <v:path arrowok="t" textboxrect="0,0,7620000,16764"/>
              </v:shape>
              <w10:wrap type="square"/>
            </v:group>
          </w:pict>
        </mc:Fallback>
      </mc:AlternateContent>
    </w:r>
    <w:r w:rsidRPr="00D332D2">
      <w:rPr>
        <w:lang w:val="en-US"/>
      </w:rPr>
      <w:t xml:space="preserve">For terms and definitions, consult the IRB Glossary at </w:t>
    </w:r>
    <w:r w:rsidRPr="00D332D2">
      <w:rPr>
        <w:color w:val="0000FF"/>
        <w:u w:val="single" w:color="0000FF"/>
        <w:lang w:val="en-US"/>
      </w:rPr>
      <w:t>http://www.irb.</w:t>
    </w:r>
    <w:r w:rsidR="0037238E">
      <w:rPr>
        <w:color w:val="0000FF"/>
        <w:u w:val="single" w:color="0000FF"/>
        <w:lang w:val="en-US"/>
      </w:rPr>
      <w:t>CCC-UPR</w:t>
    </w:r>
    <w:r w:rsidRPr="00D332D2">
      <w:rPr>
        <w:color w:val="0000FF"/>
        <w:u w:val="single" w:color="0000FF"/>
        <w:lang w:val="en-US"/>
      </w:rPr>
      <w:t>.edu/glossary/</w:t>
    </w:r>
    <w:r w:rsidRPr="00D332D2">
      <w:rPr>
        <w:sz w:val="24"/>
        <w:lang w:val="en-US"/>
      </w:rPr>
      <w:t xml:space="preserve"> </w:t>
    </w:r>
    <w:r w:rsidRPr="00D332D2">
      <w:rPr>
        <w:sz w:val="24"/>
        <w:lang w:val="en-US"/>
      </w:rPr>
      <w:tab/>
    </w:r>
    <w:r w:rsidRPr="00D332D2">
      <w:rPr>
        <w:lang w:val="en-US"/>
      </w:rPr>
      <w:t xml:space="preserve">Page </w:t>
    </w:r>
    <w:r>
      <w:fldChar w:fldCharType="begin"/>
    </w:r>
    <w:r w:rsidRPr="00D332D2">
      <w:rPr>
        <w:lang w:val="en-US"/>
      </w:rPr>
      <w:instrText xml:space="preserve"> PAGE   \* MERGEFORMAT </w:instrText>
    </w:r>
    <w:r>
      <w:fldChar w:fldCharType="separate"/>
    </w:r>
    <w:r w:rsidRPr="00D332D2">
      <w:rPr>
        <w:lang w:val="en-US"/>
      </w:rPr>
      <w:t>1</w:t>
    </w:r>
    <w:r>
      <w:fldChar w:fldCharType="end"/>
    </w:r>
    <w:r w:rsidRPr="00D332D2">
      <w:rPr>
        <w:sz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91" w:rsidRDefault="00E50491">
      <w:pPr>
        <w:spacing w:after="0" w:line="240" w:lineRule="auto"/>
      </w:pPr>
      <w:r>
        <w:separator/>
      </w:r>
    </w:p>
  </w:footnote>
  <w:footnote w:type="continuationSeparator" w:id="0">
    <w:p w:rsidR="00E50491" w:rsidRDefault="00E5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27" w:rsidRDefault="005F1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27" w:rsidRDefault="005F1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27" w:rsidRDefault="005F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30B7E"/>
    <w:multiLevelType w:val="hybridMultilevel"/>
    <w:tmpl w:val="44FE44B4"/>
    <w:lvl w:ilvl="0" w:tplc="732CEC40">
      <w:start w:val="1"/>
      <w:numFmt w:val="bullet"/>
      <w:lvlText w:val="-"/>
      <w:lvlJc w:val="left"/>
      <w:pPr>
        <w:ind w:left="10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BECDF3A">
      <w:start w:val="1"/>
      <w:numFmt w:val="bullet"/>
      <w:lvlText w:val="o"/>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6F80734">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8C29506">
      <w:start w:val="1"/>
      <w:numFmt w:val="bullet"/>
      <w:lvlText w:val="•"/>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6AA7248">
      <w:start w:val="1"/>
      <w:numFmt w:val="bullet"/>
      <w:lvlText w:val="o"/>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A68D322">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B04D494">
      <w:start w:val="1"/>
      <w:numFmt w:val="bullet"/>
      <w:lvlText w:val="•"/>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FCEAFEC">
      <w:start w:val="1"/>
      <w:numFmt w:val="bullet"/>
      <w:lvlText w:val="o"/>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0E80542">
      <w:start w:val="1"/>
      <w:numFmt w:val="bullet"/>
      <w:lvlText w:val="▪"/>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A80678"/>
    <w:multiLevelType w:val="hybridMultilevel"/>
    <w:tmpl w:val="A7EEEB66"/>
    <w:lvl w:ilvl="0" w:tplc="01DA54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E31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C643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AC3D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4A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0AC2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34F8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8B6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206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372D6A"/>
    <w:multiLevelType w:val="hybridMultilevel"/>
    <w:tmpl w:val="E56E3062"/>
    <w:lvl w:ilvl="0" w:tplc="B9D2584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6D2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A0704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BE5FD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2545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A2702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BAC13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A0BC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70415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bAwNTU0NTOzMDNQ0lEKTi0uzszPAykwrgUAVRoUcCwAAAA="/>
  </w:docVars>
  <w:rsids>
    <w:rsidRoot w:val="00CA56ED"/>
    <w:rsid w:val="0001475C"/>
    <w:rsid w:val="00296B4C"/>
    <w:rsid w:val="00297A2D"/>
    <w:rsid w:val="00366190"/>
    <w:rsid w:val="0037238E"/>
    <w:rsid w:val="00385D23"/>
    <w:rsid w:val="00391ED9"/>
    <w:rsid w:val="005304F3"/>
    <w:rsid w:val="005D2CEB"/>
    <w:rsid w:val="005F1B27"/>
    <w:rsid w:val="006063D2"/>
    <w:rsid w:val="006259FB"/>
    <w:rsid w:val="00671400"/>
    <w:rsid w:val="006F7580"/>
    <w:rsid w:val="007115FF"/>
    <w:rsid w:val="00716E4D"/>
    <w:rsid w:val="007842D9"/>
    <w:rsid w:val="00894909"/>
    <w:rsid w:val="00910D86"/>
    <w:rsid w:val="00952168"/>
    <w:rsid w:val="009630EE"/>
    <w:rsid w:val="009F572B"/>
    <w:rsid w:val="00AA16BA"/>
    <w:rsid w:val="00B656D0"/>
    <w:rsid w:val="00B7607C"/>
    <w:rsid w:val="00B970DB"/>
    <w:rsid w:val="00BD6024"/>
    <w:rsid w:val="00BF094B"/>
    <w:rsid w:val="00C17B1D"/>
    <w:rsid w:val="00C26407"/>
    <w:rsid w:val="00C44BDA"/>
    <w:rsid w:val="00C81DC5"/>
    <w:rsid w:val="00C961C6"/>
    <w:rsid w:val="00C974A0"/>
    <w:rsid w:val="00CA56ED"/>
    <w:rsid w:val="00D332D2"/>
    <w:rsid w:val="00D72A0E"/>
    <w:rsid w:val="00D867C7"/>
    <w:rsid w:val="00E50491"/>
    <w:rsid w:val="00E81BF6"/>
    <w:rsid w:val="00F363D5"/>
    <w:rsid w:val="00FA149B"/>
    <w:rsid w:val="00FC7AA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440B"/>
  <w15:docId w15:val="{BE89DD8E-FD3F-4AB1-B431-2C6291A1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1090" w:hanging="37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404" w:right="1248"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92"/>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styleId="CommentReference">
    <w:name w:val="annotation reference"/>
    <w:basedOn w:val="DefaultParagraphFont"/>
    <w:uiPriority w:val="99"/>
    <w:semiHidden/>
    <w:unhideWhenUsed/>
    <w:rsid w:val="00D332D2"/>
    <w:rPr>
      <w:sz w:val="16"/>
      <w:szCs w:val="16"/>
    </w:rPr>
  </w:style>
  <w:style w:type="paragraph" w:styleId="CommentText">
    <w:name w:val="annotation text"/>
    <w:basedOn w:val="Normal"/>
    <w:link w:val="CommentTextChar"/>
    <w:uiPriority w:val="99"/>
    <w:semiHidden/>
    <w:unhideWhenUsed/>
    <w:rsid w:val="00D332D2"/>
    <w:pPr>
      <w:spacing w:line="240" w:lineRule="auto"/>
    </w:pPr>
    <w:rPr>
      <w:szCs w:val="20"/>
    </w:rPr>
  </w:style>
  <w:style w:type="character" w:customStyle="1" w:styleId="CommentTextChar">
    <w:name w:val="Comment Text Char"/>
    <w:basedOn w:val="DefaultParagraphFont"/>
    <w:link w:val="CommentText"/>
    <w:uiPriority w:val="99"/>
    <w:semiHidden/>
    <w:rsid w:val="00D332D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32D2"/>
    <w:rPr>
      <w:b/>
      <w:bCs/>
    </w:rPr>
  </w:style>
  <w:style w:type="character" w:customStyle="1" w:styleId="CommentSubjectChar">
    <w:name w:val="Comment Subject Char"/>
    <w:basedOn w:val="CommentTextChar"/>
    <w:link w:val="CommentSubject"/>
    <w:uiPriority w:val="99"/>
    <w:semiHidden/>
    <w:rsid w:val="00D332D2"/>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2D2"/>
    <w:rPr>
      <w:rFonts w:ascii="Segoe UI" w:eastAsia="Times New Roman" w:hAnsi="Segoe UI" w:cs="Segoe UI"/>
      <w:color w:val="000000"/>
      <w:sz w:val="18"/>
      <w:szCs w:val="18"/>
    </w:rPr>
  </w:style>
  <w:style w:type="paragraph" w:styleId="Header">
    <w:name w:val="header"/>
    <w:basedOn w:val="Normal"/>
    <w:link w:val="HeaderChar"/>
    <w:uiPriority w:val="99"/>
    <w:unhideWhenUsed/>
    <w:rsid w:val="00C8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DC5"/>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96B4C"/>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296B4C"/>
    <w:rPr>
      <w:rFonts w:cs="Times New Roman"/>
      <w:lang w:val="en-US" w:eastAsia="en-US"/>
    </w:rPr>
  </w:style>
  <w:style w:type="character" w:styleId="Hyperlink">
    <w:name w:val="Hyperlink"/>
    <w:basedOn w:val="DefaultParagraphFont"/>
    <w:uiPriority w:val="99"/>
    <w:unhideWhenUsed/>
    <w:rsid w:val="00C44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hs.gov/ohr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IRB Policy 1 (Oct 2013)</vt:lpstr>
    </vt:vector>
  </TitlesOfParts>
  <Company>Microsoft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IRB Policy 1 (Oct 2013)</dc:title>
  <dc:creator>ma354</dc:creator>
  <cp:lastModifiedBy>Wanda Figueroa</cp:lastModifiedBy>
  <cp:revision>2</cp:revision>
  <cp:lastPrinted>2019-01-15T18:35:00Z</cp:lastPrinted>
  <dcterms:created xsi:type="dcterms:W3CDTF">2019-02-20T21:05:00Z</dcterms:created>
  <dcterms:modified xsi:type="dcterms:W3CDTF">2019-02-20T21:05:00Z</dcterms:modified>
</cp:coreProperties>
</file>