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80" w:rsidRDefault="00467F8D" w:rsidP="0014600A">
      <w:pPr>
        <w:spacing w:after="72" w:line="259" w:lineRule="auto"/>
        <w:ind w:left="-403" w:firstLine="0"/>
        <w:jc w:val="center"/>
      </w:pPr>
      <w:r>
        <w:rPr>
          <w:noProof/>
          <w:lang w:val="en-US" w:eastAsia="en-US"/>
        </w:rPr>
        <w:drawing>
          <wp:inline distT="0" distB="0" distL="0" distR="0">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1433169288" name="Picture 5"/>
                    <pic:cNvPicPr/>
                  </pic:nvPicPr>
                  <pic:blipFill>
                    <a:blip r:embed="rId7">
                      <a:extLst>
                        <a:ext uri="{28A0092B-C50C-407E-A947-70E740481C1C}">
                          <a14:useLocalDpi xmlns:a14="http://schemas.microsoft.com/office/drawing/2010/main" val="0"/>
                        </a:ext>
                      </a:extLst>
                    </a:blip>
                    <a:stretch>
                      <a:fillRect/>
                    </a:stretch>
                  </pic:blipFill>
                  <pic:spPr bwMode="auto">
                    <a:xfrm>
                      <a:off x="0" y="0"/>
                      <a:ext cx="5840730" cy="883920"/>
                    </a:xfrm>
                    <a:prstGeom prst="rect">
                      <a:avLst/>
                    </a:prstGeom>
                    <a:noFill/>
                  </pic:spPr>
                </pic:pic>
              </a:graphicData>
            </a:graphic>
          </wp:inline>
        </w:drawing>
      </w:r>
    </w:p>
    <w:p w:rsidR="00C10180" w:rsidRPr="00474B88" w:rsidRDefault="00C10180" w:rsidP="00054528">
      <w:pPr>
        <w:spacing w:after="0" w:line="259" w:lineRule="auto"/>
        <w:ind w:left="71" w:firstLine="0"/>
        <w:rPr>
          <w:lang w:val="en-US"/>
        </w:rPr>
      </w:pPr>
    </w:p>
    <w:p w:rsidR="00054528" w:rsidRPr="00A06C6B" w:rsidRDefault="00467F8D" w:rsidP="00054528">
      <w:pPr>
        <w:spacing w:after="0" w:line="259" w:lineRule="auto"/>
        <w:ind w:left="194" w:firstLine="0"/>
        <w:jc w:val="center"/>
        <w:rPr>
          <w:b/>
          <w:sz w:val="24"/>
          <w:lang w:val="en-US"/>
        </w:rPr>
      </w:pPr>
      <w:r w:rsidRPr="00474B88">
        <w:rPr>
          <w:sz w:val="24"/>
          <w:lang w:val="en-US"/>
        </w:rPr>
        <w:t xml:space="preserve">  </w:t>
      </w:r>
      <w:r w:rsidR="00AF346E">
        <w:rPr>
          <w:b/>
          <w:sz w:val="24"/>
          <w:lang w:val="en-US"/>
        </w:rPr>
        <w:t>Cancer Comprehensive Center</w:t>
      </w:r>
      <w:r w:rsidRPr="00A06C6B">
        <w:rPr>
          <w:b/>
          <w:sz w:val="24"/>
          <w:lang w:val="en-US"/>
        </w:rPr>
        <w:t xml:space="preserve"> </w:t>
      </w:r>
      <w:r w:rsidR="00AF346E" w:rsidRPr="00421CA6">
        <w:rPr>
          <w:b/>
          <w:sz w:val="24"/>
          <w:lang w:val="en-US"/>
        </w:rPr>
        <w:t>UPR</w:t>
      </w:r>
    </w:p>
    <w:p w:rsidR="00C10180" w:rsidRPr="00A06C6B" w:rsidRDefault="00467F8D" w:rsidP="00054528">
      <w:pPr>
        <w:spacing w:after="0" w:line="259" w:lineRule="auto"/>
        <w:ind w:left="194" w:firstLine="0"/>
        <w:jc w:val="center"/>
        <w:rPr>
          <w:b/>
          <w:sz w:val="24"/>
          <w:lang w:val="en-US"/>
        </w:rPr>
      </w:pPr>
      <w:r w:rsidRPr="00A06C6B">
        <w:rPr>
          <w:b/>
          <w:sz w:val="24"/>
          <w:lang w:val="en-US"/>
        </w:rPr>
        <w:t>Human Research Participant Protection Program</w:t>
      </w:r>
    </w:p>
    <w:p w:rsidR="00054528" w:rsidRPr="00474B88" w:rsidRDefault="00054528" w:rsidP="00054528">
      <w:pPr>
        <w:spacing w:after="0" w:line="259" w:lineRule="auto"/>
        <w:ind w:left="194" w:firstLine="0"/>
        <w:jc w:val="center"/>
        <w:rPr>
          <w:lang w:val="en-US"/>
        </w:rPr>
      </w:pPr>
    </w:p>
    <w:p w:rsidR="00C10180" w:rsidRPr="00C03347" w:rsidRDefault="00467F8D" w:rsidP="00C03347">
      <w:pPr>
        <w:pStyle w:val="Heading1"/>
        <w:ind w:left="85" w:right="1"/>
        <w:jc w:val="left"/>
        <w:rPr>
          <w:b/>
          <w:sz w:val="20"/>
          <w:lang w:val="en-US"/>
        </w:rPr>
      </w:pPr>
      <w:r w:rsidRPr="00C03347">
        <w:rPr>
          <w:b/>
          <w:sz w:val="24"/>
          <w:lang w:val="en-US"/>
        </w:rPr>
        <w:t>Policy 2: S</w:t>
      </w:r>
      <w:r w:rsidRPr="00C03347">
        <w:rPr>
          <w:b/>
          <w:sz w:val="20"/>
          <w:lang w:val="en-US"/>
        </w:rPr>
        <w:t xml:space="preserve">UBMISSION </w:t>
      </w:r>
      <w:r w:rsidRPr="00C03347">
        <w:rPr>
          <w:b/>
          <w:sz w:val="24"/>
          <w:lang w:val="en-US"/>
        </w:rPr>
        <w:t>R</w:t>
      </w:r>
      <w:r w:rsidRPr="00C03347">
        <w:rPr>
          <w:b/>
          <w:sz w:val="20"/>
          <w:lang w:val="en-US"/>
        </w:rPr>
        <w:t xml:space="preserve">EQUIREMENTS AND </w:t>
      </w:r>
      <w:r w:rsidRPr="00C03347">
        <w:rPr>
          <w:b/>
          <w:sz w:val="24"/>
          <w:lang w:val="en-US"/>
        </w:rPr>
        <w:t>P</w:t>
      </w:r>
      <w:r w:rsidRPr="00C03347">
        <w:rPr>
          <w:b/>
          <w:sz w:val="20"/>
          <w:lang w:val="en-US"/>
        </w:rPr>
        <w:t xml:space="preserve">ROCEDURES FOR </w:t>
      </w:r>
      <w:r w:rsidRPr="00C03347">
        <w:rPr>
          <w:b/>
          <w:sz w:val="24"/>
          <w:lang w:val="en-US"/>
        </w:rPr>
        <w:t>R</w:t>
      </w:r>
      <w:r w:rsidRPr="00C03347">
        <w:rPr>
          <w:b/>
          <w:sz w:val="20"/>
          <w:lang w:val="en-US"/>
        </w:rPr>
        <w:t>EQUESTS FOR</w:t>
      </w:r>
      <w:r w:rsidRPr="00C03347">
        <w:rPr>
          <w:b/>
          <w:sz w:val="20"/>
          <w:u w:val="none"/>
          <w:lang w:val="en-US"/>
        </w:rPr>
        <w:t xml:space="preserve"> </w:t>
      </w:r>
      <w:r w:rsidRPr="00C03347">
        <w:rPr>
          <w:b/>
          <w:sz w:val="24"/>
          <w:lang w:val="en-US"/>
        </w:rPr>
        <w:t>E</w:t>
      </w:r>
      <w:r w:rsidRPr="00C03347">
        <w:rPr>
          <w:b/>
          <w:sz w:val="20"/>
          <w:lang w:val="en-US"/>
        </w:rPr>
        <w:t xml:space="preserve">XEMPTION FROM </w:t>
      </w:r>
      <w:r w:rsidRPr="00C03347">
        <w:rPr>
          <w:b/>
          <w:sz w:val="24"/>
          <w:lang w:val="en-US"/>
        </w:rPr>
        <w:t>IRB</w:t>
      </w:r>
      <w:r w:rsidRPr="00C03347">
        <w:rPr>
          <w:b/>
          <w:sz w:val="20"/>
          <w:lang w:val="en-US"/>
        </w:rPr>
        <w:t xml:space="preserve"> </w:t>
      </w:r>
      <w:r w:rsidRPr="00C03347">
        <w:rPr>
          <w:b/>
          <w:sz w:val="24"/>
          <w:lang w:val="en-US"/>
        </w:rPr>
        <w:t>R</w:t>
      </w:r>
      <w:r w:rsidRPr="00C03347">
        <w:rPr>
          <w:b/>
          <w:sz w:val="20"/>
          <w:lang w:val="en-US"/>
        </w:rPr>
        <w:t>EVIEW</w:t>
      </w:r>
      <w:r w:rsidRPr="00C03347">
        <w:rPr>
          <w:b/>
          <w:sz w:val="20"/>
          <w:u w:val="none"/>
          <w:lang w:val="en-US"/>
        </w:rPr>
        <w:t xml:space="preserve"> </w:t>
      </w:r>
      <w:r w:rsidRPr="00C03347">
        <w:rPr>
          <w:b/>
          <w:sz w:val="24"/>
          <w:u w:val="none"/>
          <w:lang w:val="en-US"/>
        </w:rPr>
        <w:t xml:space="preserve"> </w:t>
      </w:r>
    </w:p>
    <w:p w:rsidR="00C10180" w:rsidRPr="00C03347" w:rsidRDefault="00467F8D" w:rsidP="00C03347">
      <w:pPr>
        <w:spacing w:after="0" w:line="259" w:lineRule="auto"/>
        <w:ind w:left="124" w:firstLine="0"/>
        <w:rPr>
          <w:b/>
          <w:sz w:val="22"/>
          <w:lang w:val="en-US"/>
        </w:rPr>
      </w:pPr>
      <w:r w:rsidRPr="00C03347">
        <w:rPr>
          <w:b/>
          <w:sz w:val="22"/>
          <w:lang w:val="en-US"/>
        </w:rPr>
        <w:t xml:space="preserve"> </w:t>
      </w:r>
    </w:p>
    <w:p w:rsidR="00C10180" w:rsidRPr="00385279" w:rsidRDefault="00467F8D">
      <w:pPr>
        <w:spacing w:after="0" w:line="259" w:lineRule="auto"/>
        <w:ind w:left="0" w:firstLine="0"/>
        <w:rPr>
          <w:sz w:val="22"/>
          <w:lang w:val="en-US"/>
        </w:rPr>
      </w:pPr>
      <w:r w:rsidRPr="00385279">
        <w:rPr>
          <w:b/>
          <w:sz w:val="22"/>
          <w:lang w:val="en-US"/>
        </w:rPr>
        <w:t xml:space="preserve"> </w:t>
      </w:r>
    </w:p>
    <w:p w:rsidR="00C10180" w:rsidRPr="00385279" w:rsidRDefault="00467F8D" w:rsidP="00A06C6B">
      <w:pPr>
        <w:pStyle w:val="Heading2"/>
        <w:spacing w:after="0" w:line="240" w:lineRule="auto"/>
        <w:ind w:left="-5"/>
        <w:rPr>
          <w:sz w:val="22"/>
          <w:lang w:val="en-US"/>
        </w:rPr>
      </w:pPr>
      <w:r w:rsidRPr="00385279">
        <w:rPr>
          <w:sz w:val="22"/>
          <w:lang w:val="en-US"/>
        </w:rPr>
        <w:t>1.</w:t>
      </w:r>
      <w:r w:rsidRPr="00385279">
        <w:rPr>
          <w:rFonts w:ascii="Arial" w:eastAsia="Arial" w:hAnsi="Arial" w:cs="Arial"/>
          <w:sz w:val="22"/>
          <w:lang w:val="en-US"/>
        </w:rPr>
        <w:t xml:space="preserve"> </w:t>
      </w:r>
      <w:r w:rsidRPr="00385279">
        <w:rPr>
          <w:sz w:val="22"/>
          <w:lang w:val="en-US"/>
        </w:rPr>
        <w:t xml:space="preserve">Subject </w:t>
      </w:r>
    </w:p>
    <w:p w:rsidR="00C10180" w:rsidRPr="00385279" w:rsidRDefault="00467F8D" w:rsidP="00A06C6B">
      <w:pPr>
        <w:spacing w:after="0" w:line="240" w:lineRule="auto"/>
        <w:ind w:left="355"/>
        <w:rPr>
          <w:sz w:val="22"/>
          <w:lang w:val="en-US"/>
        </w:rPr>
      </w:pPr>
      <w:r w:rsidRPr="00385279">
        <w:rPr>
          <w:sz w:val="22"/>
          <w:lang w:val="en-US"/>
        </w:rPr>
        <w:t xml:space="preserve">Some types of research activities meet </w:t>
      </w:r>
      <w:r w:rsidR="00AF346E">
        <w:rPr>
          <w:sz w:val="22"/>
          <w:lang w:val="en-US"/>
        </w:rPr>
        <w:t>CCC-UPR</w:t>
      </w:r>
      <w:r w:rsidRPr="00385279">
        <w:rPr>
          <w:sz w:val="22"/>
          <w:lang w:val="en-US"/>
        </w:rPr>
        <w:t xml:space="preserve">'s definition of human participant research but do not require review and oversight by the Institutional Review Board (IRB). These types of research projects </w:t>
      </w:r>
      <w:proofErr w:type="gramStart"/>
      <w:r w:rsidRPr="00385279">
        <w:rPr>
          <w:sz w:val="22"/>
          <w:lang w:val="en-US"/>
        </w:rPr>
        <w:t>are known</w:t>
      </w:r>
      <w:proofErr w:type="gramEnd"/>
      <w:r w:rsidRPr="00385279">
        <w:rPr>
          <w:sz w:val="22"/>
          <w:lang w:val="en-US"/>
        </w:rPr>
        <w:t xml:space="preserve"> as "exempt" because they are exempt from the requirements of IRB review and approval. This policy describes the criteria under which an exemption may be granted and the procedures for applying for an exemption.</w:t>
      </w:r>
    </w:p>
    <w:p w:rsidR="00C10180" w:rsidRPr="00385279" w:rsidRDefault="00467F8D" w:rsidP="00A06C6B">
      <w:pPr>
        <w:spacing w:after="0" w:line="240" w:lineRule="auto"/>
        <w:ind w:left="0" w:firstLine="0"/>
        <w:rPr>
          <w:sz w:val="22"/>
          <w:lang w:val="en-US"/>
        </w:rPr>
      </w:pPr>
      <w:r w:rsidRPr="00385279">
        <w:rPr>
          <w:sz w:val="22"/>
          <w:lang w:val="en-US"/>
        </w:rPr>
        <w:t xml:space="preserve"> </w:t>
      </w:r>
    </w:p>
    <w:p w:rsidR="00C10180" w:rsidRPr="00385279" w:rsidRDefault="00467F8D" w:rsidP="00A06C6B">
      <w:pPr>
        <w:pStyle w:val="Heading2"/>
        <w:spacing w:after="0" w:line="240" w:lineRule="auto"/>
        <w:ind w:left="-5"/>
        <w:rPr>
          <w:sz w:val="22"/>
        </w:rPr>
      </w:pPr>
      <w:r w:rsidRPr="00385279">
        <w:rPr>
          <w:sz w:val="22"/>
        </w:rPr>
        <w:t>2.</w:t>
      </w:r>
      <w:r w:rsidRPr="00385279">
        <w:rPr>
          <w:rFonts w:ascii="Arial" w:eastAsia="Arial" w:hAnsi="Arial" w:cs="Arial"/>
          <w:sz w:val="22"/>
        </w:rPr>
        <w:t xml:space="preserve"> </w:t>
      </w:r>
      <w:r w:rsidRPr="00385279">
        <w:rPr>
          <w:sz w:val="22"/>
        </w:rPr>
        <w:t xml:space="preserve"> </w:t>
      </w:r>
      <w:proofErr w:type="spellStart"/>
      <w:r w:rsidRPr="00385279">
        <w:rPr>
          <w:sz w:val="22"/>
        </w:rPr>
        <w:t>Policy</w:t>
      </w:r>
      <w:proofErr w:type="spellEnd"/>
      <w:r w:rsidRPr="00385279">
        <w:rPr>
          <w:sz w:val="22"/>
        </w:rPr>
        <w:t xml:space="preserve"> </w:t>
      </w:r>
      <w:proofErr w:type="spellStart"/>
      <w:r w:rsidRPr="00385279">
        <w:rPr>
          <w:sz w:val="22"/>
        </w:rPr>
        <w:t>statements</w:t>
      </w:r>
      <w:proofErr w:type="spellEnd"/>
      <w:r w:rsidRPr="00385279">
        <w:rPr>
          <w:sz w:val="22"/>
        </w:rPr>
        <w:t xml:space="preserve"> </w:t>
      </w:r>
    </w:p>
    <w:p w:rsidR="00C10180" w:rsidRPr="00385279" w:rsidRDefault="00467F8D" w:rsidP="00A06C6B">
      <w:pPr>
        <w:numPr>
          <w:ilvl w:val="0"/>
          <w:numId w:val="1"/>
        </w:numPr>
        <w:spacing w:after="0" w:line="240" w:lineRule="auto"/>
        <w:ind w:hanging="360"/>
        <w:rPr>
          <w:sz w:val="22"/>
          <w:lang w:val="en-US"/>
        </w:rPr>
      </w:pPr>
      <w:r w:rsidRPr="00385279">
        <w:rPr>
          <w:sz w:val="22"/>
          <w:lang w:val="en-US"/>
        </w:rPr>
        <w:t xml:space="preserve">A PI </w:t>
      </w:r>
      <w:r w:rsidRPr="00385279">
        <w:rPr>
          <w:b/>
          <w:sz w:val="22"/>
          <w:lang w:val="en-US"/>
        </w:rPr>
        <w:t>may not</w:t>
      </w:r>
      <w:r w:rsidRPr="00385279">
        <w:rPr>
          <w:sz w:val="22"/>
          <w:lang w:val="en-US"/>
        </w:rPr>
        <w:t xml:space="preserve"> self-determine that his or her research protocol qualifies for exemption from IRB review.   </w:t>
      </w:r>
    </w:p>
    <w:p w:rsidR="00C10180" w:rsidRPr="00385279" w:rsidRDefault="00467F8D" w:rsidP="00A06C6B">
      <w:pPr>
        <w:numPr>
          <w:ilvl w:val="0"/>
          <w:numId w:val="1"/>
        </w:numPr>
        <w:spacing w:after="0" w:line="240" w:lineRule="auto"/>
        <w:ind w:hanging="360"/>
        <w:rPr>
          <w:sz w:val="22"/>
          <w:lang w:val="en-US"/>
        </w:rPr>
      </w:pPr>
      <w:r w:rsidRPr="00385279">
        <w:rPr>
          <w:sz w:val="22"/>
          <w:lang w:val="en-US"/>
        </w:rPr>
        <w:t>A PI requesting an exemption must submit a Request for Exemption from IRB Review</w:t>
      </w:r>
      <w:r w:rsidR="00AF346E">
        <w:rPr>
          <w:sz w:val="22"/>
          <w:lang w:val="en-US"/>
        </w:rPr>
        <w:t>.</w:t>
      </w:r>
      <w:r w:rsidRPr="00385279">
        <w:rPr>
          <w:sz w:val="22"/>
          <w:lang w:val="en-US"/>
        </w:rPr>
        <w:t xml:space="preserve"> The IRB staff will determine if the research project meets the eligibility requirements for exemption from IRB review.   </w:t>
      </w:r>
    </w:p>
    <w:p w:rsidR="00C10180" w:rsidRPr="00385279" w:rsidRDefault="00467F8D" w:rsidP="00A06C6B">
      <w:pPr>
        <w:numPr>
          <w:ilvl w:val="0"/>
          <w:numId w:val="1"/>
        </w:numPr>
        <w:spacing w:after="0" w:line="240" w:lineRule="auto"/>
        <w:ind w:hanging="360"/>
        <w:rPr>
          <w:sz w:val="22"/>
          <w:lang w:val="en-US"/>
        </w:rPr>
      </w:pPr>
      <w:r w:rsidRPr="00385279">
        <w:rPr>
          <w:sz w:val="22"/>
          <w:lang w:val="en-US"/>
        </w:rPr>
        <w:t>If the research activities are not eligible for an exemption, the research project must receive either expedited or full committee review by the IRB.</w:t>
      </w:r>
    </w:p>
    <w:p w:rsidR="00C10180" w:rsidRPr="00385279" w:rsidRDefault="00467F8D" w:rsidP="00A06C6B">
      <w:pPr>
        <w:numPr>
          <w:ilvl w:val="0"/>
          <w:numId w:val="1"/>
        </w:numPr>
        <w:spacing w:after="0" w:line="240" w:lineRule="auto"/>
        <w:ind w:hanging="360"/>
        <w:rPr>
          <w:sz w:val="22"/>
          <w:lang w:val="en-US"/>
        </w:rPr>
      </w:pPr>
      <w:r w:rsidRPr="00385279">
        <w:rPr>
          <w:sz w:val="22"/>
          <w:lang w:val="en-US"/>
        </w:rPr>
        <w:t xml:space="preserve">Research activities may not commence until the PI receives a written notice of exemption from </w:t>
      </w:r>
      <w:r w:rsidR="006B2851">
        <w:rPr>
          <w:sz w:val="22"/>
          <w:lang w:val="en-US"/>
        </w:rPr>
        <w:t>IRB</w:t>
      </w:r>
      <w:r w:rsidRPr="00385279">
        <w:rPr>
          <w:sz w:val="22"/>
          <w:lang w:val="en-US"/>
        </w:rPr>
        <w:t xml:space="preserve">. </w:t>
      </w:r>
    </w:p>
    <w:p w:rsidR="00C10180" w:rsidRPr="00385279" w:rsidRDefault="00467F8D" w:rsidP="00A06C6B">
      <w:pPr>
        <w:numPr>
          <w:ilvl w:val="0"/>
          <w:numId w:val="1"/>
        </w:numPr>
        <w:spacing w:after="0" w:line="240" w:lineRule="auto"/>
        <w:ind w:hanging="360"/>
        <w:rPr>
          <w:sz w:val="22"/>
          <w:lang w:val="en-US"/>
        </w:rPr>
      </w:pPr>
      <w:proofErr w:type="gramStart"/>
      <w:r w:rsidRPr="00385279">
        <w:rPr>
          <w:sz w:val="22"/>
          <w:lang w:val="en-US"/>
        </w:rPr>
        <w:t>Changes to any of the research activities or materials must be reviewed by the IRB staff to verify that the project continues to be eligible for exemption from IRB review</w:t>
      </w:r>
      <w:proofErr w:type="gramEnd"/>
      <w:r w:rsidRPr="00385279">
        <w:rPr>
          <w:sz w:val="22"/>
          <w:lang w:val="en-US"/>
        </w:rPr>
        <w:t xml:space="preserve">. </w:t>
      </w:r>
    </w:p>
    <w:p w:rsidR="00C10180" w:rsidRPr="00385279" w:rsidRDefault="00467F8D" w:rsidP="00A06C6B">
      <w:pPr>
        <w:numPr>
          <w:ilvl w:val="0"/>
          <w:numId w:val="1"/>
        </w:numPr>
        <w:spacing w:after="0" w:line="240" w:lineRule="auto"/>
        <w:ind w:hanging="360"/>
        <w:rPr>
          <w:sz w:val="22"/>
          <w:lang w:val="en-US"/>
        </w:rPr>
      </w:pPr>
      <w:r w:rsidRPr="00385279">
        <w:rPr>
          <w:sz w:val="22"/>
          <w:lang w:val="en-US"/>
        </w:rPr>
        <w:t xml:space="preserve">Researchers are responsible for ensuring full and continuing compliance with all </w:t>
      </w:r>
      <w:r w:rsidR="00AF346E">
        <w:rPr>
          <w:sz w:val="22"/>
          <w:lang w:val="en-US"/>
        </w:rPr>
        <w:t>CCC-UPR</w:t>
      </w:r>
      <w:r w:rsidRPr="00385279">
        <w:rPr>
          <w:sz w:val="22"/>
          <w:lang w:val="en-US"/>
        </w:rPr>
        <w:t xml:space="preserve"> and IRB policies in the conduct of their research.  </w:t>
      </w:r>
    </w:p>
    <w:p w:rsidR="00C10180" w:rsidRPr="00385279" w:rsidRDefault="00467F8D" w:rsidP="00A06C6B">
      <w:pPr>
        <w:spacing w:after="0" w:line="240" w:lineRule="auto"/>
        <w:ind w:left="0" w:firstLine="0"/>
        <w:rPr>
          <w:sz w:val="22"/>
          <w:lang w:val="en-US"/>
        </w:rPr>
      </w:pPr>
      <w:r w:rsidRPr="00385279">
        <w:rPr>
          <w:sz w:val="22"/>
          <w:lang w:val="en-US"/>
        </w:rPr>
        <w:t xml:space="preserve"> </w:t>
      </w:r>
    </w:p>
    <w:p w:rsidR="00C10180" w:rsidRPr="00385279" w:rsidRDefault="00467F8D" w:rsidP="00A06C6B">
      <w:pPr>
        <w:pStyle w:val="Heading2"/>
        <w:spacing w:after="0" w:line="240" w:lineRule="auto"/>
        <w:ind w:left="-5"/>
        <w:rPr>
          <w:sz w:val="22"/>
          <w:lang w:val="en-US"/>
        </w:rPr>
      </w:pPr>
      <w:r w:rsidRPr="00385279">
        <w:rPr>
          <w:sz w:val="22"/>
          <w:lang w:val="en-US"/>
        </w:rPr>
        <w:t>3.</w:t>
      </w:r>
      <w:r w:rsidRPr="00385279">
        <w:rPr>
          <w:rFonts w:ascii="Arial" w:eastAsia="Arial" w:hAnsi="Arial" w:cs="Arial"/>
          <w:sz w:val="22"/>
          <w:lang w:val="en-US"/>
        </w:rPr>
        <w:t xml:space="preserve"> </w:t>
      </w:r>
      <w:r w:rsidRPr="00385279">
        <w:rPr>
          <w:sz w:val="22"/>
          <w:lang w:val="en-US"/>
        </w:rPr>
        <w:t xml:space="preserve">Procedures  </w:t>
      </w:r>
    </w:p>
    <w:p w:rsidR="00C10180" w:rsidRPr="00385279" w:rsidRDefault="00467F8D" w:rsidP="00A06C6B">
      <w:pPr>
        <w:spacing w:after="0" w:line="240" w:lineRule="auto"/>
        <w:ind w:left="777" w:hanging="432"/>
        <w:rPr>
          <w:sz w:val="22"/>
          <w:lang w:val="en-US"/>
        </w:rPr>
      </w:pPr>
      <w:r w:rsidRPr="00385279">
        <w:rPr>
          <w:sz w:val="22"/>
          <w:lang w:val="en-US"/>
        </w:rPr>
        <w:t>3.1.</w:t>
      </w:r>
      <w:r w:rsidRPr="00385279">
        <w:rPr>
          <w:rFonts w:ascii="Arial" w:eastAsia="Arial" w:hAnsi="Arial" w:cs="Arial"/>
          <w:sz w:val="22"/>
          <w:lang w:val="en-US"/>
        </w:rPr>
        <w:t xml:space="preserve"> </w:t>
      </w:r>
      <w:r w:rsidRPr="00385279">
        <w:rPr>
          <w:sz w:val="22"/>
          <w:lang w:val="en-US"/>
        </w:rPr>
        <w:t>After determining that his/her research constitutes research with human participants (</w:t>
      </w:r>
      <w:r w:rsidRPr="00385279">
        <w:rPr>
          <w:i/>
          <w:sz w:val="22"/>
          <w:lang w:val="en-US"/>
        </w:rPr>
        <w:t xml:space="preserve">see </w:t>
      </w:r>
      <w:r w:rsidRPr="00385279">
        <w:rPr>
          <w:sz w:val="22"/>
          <w:lang w:val="en-US"/>
        </w:rPr>
        <w:t xml:space="preserve">Policy 1: Determining Whether a Research Activity Needs IRB Review and Approval), a PI should submit a </w:t>
      </w:r>
      <w:r w:rsidRPr="00556688">
        <w:rPr>
          <w:color w:val="auto"/>
          <w:sz w:val="22"/>
          <w:lang w:val="en-US"/>
        </w:rPr>
        <w:t>Request for Exemption</w:t>
      </w:r>
      <w:r w:rsidR="00AF346E" w:rsidRPr="00556688">
        <w:rPr>
          <w:color w:val="auto"/>
          <w:sz w:val="22"/>
          <w:lang w:val="en-US"/>
        </w:rPr>
        <w:t xml:space="preserve"> </w:t>
      </w:r>
      <w:r w:rsidR="00AF346E">
        <w:rPr>
          <w:sz w:val="22"/>
          <w:lang w:val="en-US"/>
        </w:rPr>
        <w:t>letter</w:t>
      </w:r>
      <w:r w:rsidRPr="00385279">
        <w:rPr>
          <w:sz w:val="22"/>
          <w:lang w:val="en-US"/>
        </w:rPr>
        <w:t xml:space="preserve"> to the IRB </w:t>
      </w:r>
      <w:r w:rsidRPr="0014600A">
        <w:rPr>
          <w:sz w:val="22"/>
          <w:lang w:val="en-US"/>
        </w:rPr>
        <w:t xml:space="preserve">office (e-mail </w:t>
      </w:r>
      <w:r w:rsidRPr="003C3D78">
        <w:rPr>
          <w:sz w:val="22"/>
          <w:lang w:val="en-US"/>
        </w:rPr>
        <w:t xml:space="preserve">to </w:t>
      </w:r>
      <w:hyperlink r:id="rId8" w:history="1">
        <w:r w:rsidR="00421CA6" w:rsidRPr="003C3D78">
          <w:rPr>
            <w:color w:val="0000FF"/>
            <w:sz w:val="22"/>
            <w:lang w:val="en-US"/>
          </w:rPr>
          <w:t>irb@cccupr.org</w:t>
        </w:r>
      </w:hyperlink>
      <w:r w:rsidRPr="00385279">
        <w:rPr>
          <w:sz w:val="22"/>
          <w:lang w:val="en-US"/>
        </w:rPr>
        <w:t xml:space="preserve">), along with copies of study related materials (e.g., recruitment materials, consent forms, surveys, questionnaires, interview scripts/outlines, etc.).  Instructions on how to complete and submit the form and additional guidance are available on the IRB website at </w:t>
      </w:r>
      <w:r w:rsidRPr="003C3D78">
        <w:rPr>
          <w:color w:val="0000FF"/>
          <w:sz w:val="22"/>
          <w:lang w:val="en-US"/>
        </w:rPr>
        <w:t>http://www.irb</w:t>
      </w:r>
      <w:r w:rsidR="00421CA6" w:rsidRPr="003C3D78">
        <w:rPr>
          <w:color w:val="0000FF"/>
          <w:sz w:val="22"/>
          <w:lang w:val="en-US"/>
        </w:rPr>
        <w:t>@ccc</w:t>
      </w:r>
      <w:r w:rsidR="0055738C" w:rsidRPr="003C3D78">
        <w:rPr>
          <w:color w:val="0000FF"/>
          <w:sz w:val="22"/>
          <w:lang w:val="en-US"/>
        </w:rPr>
        <w:t>upr.org</w:t>
      </w:r>
      <w:r w:rsidRPr="00385279">
        <w:rPr>
          <w:sz w:val="22"/>
          <w:lang w:val="en-US"/>
        </w:rPr>
        <w:t xml:space="preserve">. </w:t>
      </w:r>
    </w:p>
    <w:p w:rsidR="00C10180" w:rsidRPr="00385279" w:rsidRDefault="00467F8D" w:rsidP="00A06C6B">
      <w:pPr>
        <w:spacing w:after="0" w:line="240" w:lineRule="auto"/>
        <w:ind w:left="777" w:hanging="432"/>
        <w:rPr>
          <w:sz w:val="22"/>
          <w:lang w:val="en-US"/>
        </w:rPr>
      </w:pPr>
      <w:r w:rsidRPr="00385279">
        <w:rPr>
          <w:sz w:val="22"/>
          <w:lang w:val="en-US"/>
        </w:rPr>
        <w:t>3.2.</w:t>
      </w:r>
      <w:r w:rsidRPr="00385279">
        <w:rPr>
          <w:rFonts w:ascii="Arial" w:eastAsia="Arial" w:hAnsi="Arial" w:cs="Arial"/>
          <w:sz w:val="22"/>
          <w:lang w:val="en-US"/>
        </w:rPr>
        <w:t xml:space="preserve"> </w:t>
      </w:r>
      <w:r w:rsidRPr="00385279">
        <w:rPr>
          <w:sz w:val="22"/>
          <w:lang w:val="en-US"/>
        </w:rPr>
        <w:t>Upon review of the application materials, if the IRB staff determines that the research project qualifies for an exemption (see criteria in Section 4 of this document), they will issue a formal written notice to the PI via email</w:t>
      </w:r>
      <w:r w:rsidR="006B2851">
        <w:rPr>
          <w:sz w:val="22"/>
          <w:lang w:val="en-US"/>
        </w:rPr>
        <w:t xml:space="preserve"> and letter</w:t>
      </w:r>
      <w:r w:rsidRPr="00385279">
        <w:rPr>
          <w:sz w:val="22"/>
          <w:lang w:val="en-US"/>
        </w:rPr>
        <w:t xml:space="preserve">.  </w:t>
      </w:r>
    </w:p>
    <w:p w:rsidR="00C10180" w:rsidRPr="00385279" w:rsidRDefault="00467F8D" w:rsidP="00A06C6B">
      <w:pPr>
        <w:spacing w:after="0" w:line="240" w:lineRule="auto"/>
        <w:ind w:left="802"/>
        <w:rPr>
          <w:sz w:val="22"/>
          <w:lang w:val="en-US"/>
        </w:rPr>
      </w:pPr>
      <w:r w:rsidRPr="00385279">
        <w:rPr>
          <w:sz w:val="22"/>
          <w:lang w:val="en-US"/>
        </w:rPr>
        <w:t>The review process for Requests for Exemption takes typically 5-10 business days.</w:t>
      </w:r>
    </w:p>
    <w:p w:rsidR="00C10180" w:rsidRPr="00385279" w:rsidRDefault="00467F8D" w:rsidP="00A06C6B">
      <w:pPr>
        <w:spacing w:after="0" w:line="240" w:lineRule="auto"/>
        <w:ind w:left="777" w:hanging="432"/>
        <w:rPr>
          <w:sz w:val="22"/>
          <w:lang w:val="en-US"/>
        </w:rPr>
      </w:pPr>
      <w:r w:rsidRPr="00385279">
        <w:rPr>
          <w:sz w:val="22"/>
          <w:lang w:val="en-US"/>
        </w:rPr>
        <w:t>3.3.</w:t>
      </w:r>
      <w:r w:rsidRPr="00385279">
        <w:rPr>
          <w:rFonts w:ascii="Arial" w:eastAsia="Arial" w:hAnsi="Arial" w:cs="Arial"/>
          <w:sz w:val="22"/>
          <w:lang w:val="en-US"/>
        </w:rPr>
        <w:t xml:space="preserve"> </w:t>
      </w:r>
      <w:r w:rsidRPr="00385279">
        <w:rPr>
          <w:sz w:val="22"/>
          <w:lang w:val="en-US"/>
        </w:rPr>
        <w:t>IRB will archive a copy of the exemption notice and all submission documents</w:t>
      </w:r>
      <w:r w:rsidR="00AC3315">
        <w:rPr>
          <w:sz w:val="22"/>
          <w:lang w:val="en-US"/>
        </w:rPr>
        <w:t xml:space="preserve"> </w:t>
      </w:r>
      <w:r w:rsidRPr="00385279">
        <w:rPr>
          <w:sz w:val="22"/>
          <w:lang w:val="en-US"/>
        </w:rPr>
        <w:t xml:space="preserve">until five years after the termination of the research activity.  The PI should maintain these documents for five years after the research activity has concluded and all publications and/or reports </w:t>
      </w:r>
      <w:proofErr w:type="gramStart"/>
      <w:r w:rsidRPr="00385279">
        <w:rPr>
          <w:sz w:val="22"/>
          <w:lang w:val="en-US"/>
        </w:rPr>
        <w:t>have been accepted</w:t>
      </w:r>
      <w:proofErr w:type="gramEnd"/>
      <w:r w:rsidRPr="00385279">
        <w:rPr>
          <w:sz w:val="22"/>
          <w:lang w:val="en-US"/>
        </w:rPr>
        <w:t xml:space="preserve">.   </w:t>
      </w:r>
    </w:p>
    <w:p w:rsidR="00C10180" w:rsidRPr="00385279" w:rsidRDefault="00467F8D" w:rsidP="00A06C6B">
      <w:pPr>
        <w:spacing w:after="0" w:line="240" w:lineRule="auto"/>
        <w:ind w:left="777" w:hanging="432"/>
        <w:rPr>
          <w:sz w:val="22"/>
          <w:lang w:val="en-US"/>
        </w:rPr>
      </w:pPr>
      <w:r w:rsidRPr="00385279">
        <w:rPr>
          <w:sz w:val="22"/>
          <w:lang w:val="en-US"/>
        </w:rPr>
        <w:t>3.4.</w:t>
      </w:r>
      <w:r w:rsidRPr="00385279">
        <w:rPr>
          <w:rFonts w:ascii="Arial" w:eastAsia="Arial" w:hAnsi="Arial" w:cs="Arial"/>
          <w:sz w:val="22"/>
          <w:lang w:val="en-US"/>
        </w:rPr>
        <w:t xml:space="preserve"> </w:t>
      </w:r>
      <w:r w:rsidRPr="00385279">
        <w:rPr>
          <w:sz w:val="22"/>
          <w:lang w:val="en-US"/>
        </w:rPr>
        <w:t xml:space="preserve">Protocols that are recognized as exempt from IRB review do not require continuing review (i.e., annual renewal of exemption is not necessary). However, for each change that is proposed or may need to </w:t>
      </w:r>
      <w:proofErr w:type="gramStart"/>
      <w:r w:rsidRPr="00385279">
        <w:rPr>
          <w:sz w:val="22"/>
          <w:lang w:val="en-US"/>
        </w:rPr>
        <w:t xml:space="preserve">be </w:t>
      </w:r>
      <w:r w:rsidRPr="00385279">
        <w:rPr>
          <w:sz w:val="22"/>
          <w:lang w:val="en-US"/>
        </w:rPr>
        <w:lastRenderedPageBreak/>
        <w:t>made</w:t>
      </w:r>
      <w:proofErr w:type="gramEnd"/>
      <w:r w:rsidRPr="00385279">
        <w:rPr>
          <w:sz w:val="22"/>
          <w:lang w:val="en-US"/>
        </w:rPr>
        <w:t xml:space="preserve"> while conducting the research, the PI should submit an amendment request so IRB staff can evaluate whether the change affects the research project’s eligibility for exemption from IRB review.  The PI must receive a written notice confirming that the project remains exempt before implementing the change in the research activities.  </w:t>
      </w:r>
    </w:p>
    <w:p w:rsidR="00C10180" w:rsidRPr="00385279" w:rsidRDefault="00467F8D" w:rsidP="00A06C6B">
      <w:pPr>
        <w:spacing w:after="0" w:line="240" w:lineRule="auto"/>
        <w:ind w:left="720" w:firstLine="0"/>
        <w:rPr>
          <w:sz w:val="22"/>
          <w:lang w:val="en-US"/>
        </w:rPr>
      </w:pPr>
      <w:r w:rsidRPr="00385279">
        <w:rPr>
          <w:sz w:val="22"/>
          <w:lang w:val="en-US"/>
        </w:rPr>
        <w:t xml:space="preserve"> </w:t>
      </w:r>
    </w:p>
    <w:p w:rsidR="00C10180" w:rsidRPr="00AC4191" w:rsidRDefault="00467F8D" w:rsidP="00AC4191">
      <w:pPr>
        <w:pStyle w:val="Heading2"/>
        <w:spacing w:after="0" w:line="240" w:lineRule="auto"/>
        <w:ind w:left="-5"/>
        <w:rPr>
          <w:sz w:val="22"/>
          <w:lang w:val="en-US"/>
        </w:rPr>
      </w:pPr>
      <w:r w:rsidRPr="00385279">
        <w:rPr>
          <w:sz w:val="22"/>
          <w:lang w:val="en-US"/>
        </w:rPr>
        <w:t>4.</w:t>
      </w:r>
      <w:r w:rsidRPr="00385279">
        <w:rPr>
          <w:rFonts w:ascii="Arial" w:eastAsia="Arial" w:hAnsi="Arial" w:cs="Arial"/>
          <w:sz w:val="22"/>
          <w:lang w:val="en-US"/>
        </w:rPr>
        <w:t xml:space="preserve"> </w:t>
      </w:r>
      <w:r w:rsidRPr="00385279">
        <w:rPr>
          <w:sz w:val="22"/>
          <w:lang w:val="en-US"/>
        </w:rPr>
        <w:t xml:space="preserve">Criteria for granting exemption from IRB review </w:t>
      </w:r>
    </w:p>
    <w:p w:rsidR="00C10180" w:rsidRPr="00385279" w:rsidRDefault="00467F8D" w:rsidP="00A06C6B">
      <w:pPr>
        <w:pStyle w:val="Heading3"/>
        <w:spacing w:after="0" w:line="240" w:lineRule="auto"/>
        <w:ind w:left="792" w:hanging="432"/>
        <w:rPr>
          <w:sz w:val="22"/>
          <w:lang w:val="en-US"/>
        </w:rPr>
      </w:pPr>
      <w:r w:rsidRPr="00385279">
        <w:rPr>
          <w:sz w:val="22"/>
          <w:lang w:val="en-US"/>
        </w:rPr>
        <w:t>4.1.</w:t>
      </w:r>
      <w:r w:rsidRPr="00385279">
        <w:rPr>
          <w:rFonts w:ascii="Arial" w:eastAsia="Arial" w:hAnsi="Arial" w:cs="Arial"/>
          <w:sz w:val="22"/>
          <w:lang w:val="en-US"/>
        </w:rPr>
        <w:t xml:space="preserve"> </w:t>
      </w:r>
      <w:r w:rsidRPr="00385279">
        <w:rPr>
          <w:sz w:val="22"/>
          <w:lang w:val="en-US"/>
        </w:rPr>
        <w:t>Research Activities that cannot be granted exemption from IRB review (other exclusions a</w:t>
      </w:r>
      <w:r w:rsidR="00AF346E">
        <w:rPr>
          <w:sz w:val="22"/>
          <w:lang w:val="en-US"/>
        </w:rPr>
        <w:t>re specified in the criteria 1-8</w:t>
      </w:r>
      <w:r w:rsidRPr="00385279">
        <w:rPr>
          <w:sz w:val="22"/>
          <w:lang w:val="en-US"/>
        </w:rPr>
        <w:t xml:space="preserve"> below)  </w:t>
      </w:r>
    </w:p>
    <w:p w:rsidR="00C10180" w:rsidRPr="00385279" w:rsidRDefault="00467F8D" w:rsidP="00A06C6B">
      <w:pPr>
        <w:numPr>
          <w:ilvl w:val="0"/>
          <w:numId w:val="2"/>
        </w:numPr>
        <w:spacing w:after="0" w:line="240" w:lineRule="auto"/>
        <w:ind w:hanging="360"/>
        <w:rPr>
          <w:sz w:val="22"/>
        </w:rPr>
      </w:pPr>
      <w:proofErr w:type="spellStart"/>
      <w:r w:rsidRPr="00385279">
        <w:rPr>
          <w:sz w:val="22"/>
        </w:rPr>
        <w:t>Research</w:t>
      </w:r>
      <w:proofErr w:type="spellEnd"/>
      <w:r w:rsidRPr="00385279">
        <w:rPr>
          <w:sz w:val="22"/>
        </w:rPr>
        <w:t xml:space="preserve"> </w:t>
      </w:r>
      <w:proofErr w:type="spellStart"/>
      <w:r w:rsidRPr="00385279">
        <w:rPr>
          <w:sz w:val="22"/>
        </w:rPr>
        <w:t>involving</w:t>
      </w:r>
      <w:proofErr w:type="spellEnd"/>
      <w:r w:rsidRPr="00385279">
        <w:rPr>
          <w:sz w:val="22"/>
        </w:rPr>
        <w:t xml:space="preserve"> </w:t>
      </w:r>
      <w:proofErr w:type="spellStart"/>
      <w:r w:rsidRPr="00385279">
        <w:rPr>
          <w:sz w:val="22"/>
        </w:rPr>
        <w:t>prisoners</w:t>
      </w:r>
      <w:proofErr w:type="spellEnd"/>
      <w:r w:rsidRPr="00385279">
        <w:rPr>
          <w:sz w:val="22"/>
        </w:rPr>
        <w:t xml:space="preserve">. </w:t>
      </w:r>
    </w:p>
    <w:p w:rsidR="00C10180" w:rsidRPr="00385279" w:rsidRDefault="00467F8D" w:rsidP="00A06C6B">
      <w:pPr>
        <w:numPr>
          <w:ilvl w:val="0"/>
          <w:numId w:val="2"/>
        </w:numPr>
        <w:spacing w:after="0" w:line="240" w:lineRule="auto"/>
        <w:ind w:hanging="360"/>
        <w:rPr>
          <w:sz w:val="22"/>
          <w:lang w:val="en-US"/>
        </w:rPr>
      </w:pPr>
      <w:r w:rsidRPr="00385279">
        <w:rPr>
          <w:sz w:val="22"/>
          <w:lang w:val="en-US"/>
        </w:rPr>
        <w:t>Research involving the active collection of biological specimens or conducting biomedical/psychophysiological procedures.</w:t>
      </w:r>
    </w:p>
    <w:p w:rsidR="00C10180" w:rsidRPr="00385279" w:rsidRDefault="00467F8D" w:rsidP="00A06C6B">
      <w:pPr>
        <w:spacing w:after="0" w:line="240" w:lineRule="auto"/>
        <w:ind w:left="792" w:firstLine="0"/>
        <w:rPr>
          <w:sz w:val="22"/>
          <w:lang w:val="en-US"/>
        </w:rPr>
      </w:pPr>
      <w:r w:rsidRPr="00385279">
        <w:rPr>
          <w:b/>
          <w:sz w:val="22"/>
          <w:lang w:val="en-US"/>
        </w:rPr>
        <w:t xml:space="preserve"> </w:t>
      </w:r>
    </w:p>
    <w:p w:rsidR="00C10180" w:rsidRPr="00385279" w:rsidRDefault="00467F8D" w:rsidP="00A06C6B">
      <w:pPr>
        <w:spacing w:after="0" w:line="240" w:lineRule="auto"/>
        <w:ind w:left="777" w:hanging="432"/>
        <w:rPr>
          <w:sz w:val="22"/>
          <w:lang w:val="en-US"/>
        </w:rPr>
      </w:pPr>
      <w:r w:rsidRPr="00385279">
        <w:rPr>
          <w:b/>
          <w:sz w:val="22"/>
          <w:lang w:val="en-US"/>
        </w:rPr>
        <w:t>4.2.</w:t>
      </w:r>
      <w:r w:rsidRPr="00385279">
        <w:rPr>
          <w:rFonts w:ascii="Arial" w:eastAsia="Arial" w:hAnsi="Arial" w:cs="Arial"/>
          <w:b/>
          <w:sz w:val="22"/>
          <w:lang w:val="en-US"/>
        </w:rPr>
        <w:t xml:space="preserve"> </w:t>
      </w:r>
      <w:r w:rsidRPr="00385279">
        <w:rPr>
          <w:b/>
          <w:sz w:val="22"/>
          <w:lang w:val="en-US"/>
        </w:rPr>
        <w:t xml:space="preserve">Research Activities that </w:t>
      </w:r>
      <w:proofErr w:type="gramStart"/>
      <w:r w:rsidRPr="00385279">
        <w:rPr>
          <w:b/>
          <w:sz w:val="22"/>
          <w:lang w:val="en-US"/>
        </w:rPr>
        <w:t>may be granted</w:t>
      </w:r>
      <w:proofErr w:type="gramEnd"/>
      <w:r w:rsidRPr="00385279">
        <w:rPr>
          <w:b/>
          <w:sz w:val="22"/>
          <w:lang w:val="en-US"/>
        </w:rPr>
        <w:t xml:space="preserve"> Exemption from IRB review:</w:t>
      </w:r>
      <w:r w:rsidRPr="00385279">
        <w:rPr>
          <w:sz w:val="22"/>
          <w:lang w:val="en-US"/>
        </w:rPr>
        <w:t xml:space="preserve"> If the proposed research activities are such that the </w:t>
      </w:r>
      <w:r w:rsidRPr="00385279">
        <w:rPr>
          <w:b/>
          <w:sz w:val="22"/>
          <w:u w:val="single" w:color="000000"/>
          <w:lang w:val="en-US"/>
        </w:rPr>
        <w:t>ONLY</w:t>
      </w:r>
      <w:r w:rsidRPr="00385279">
        <w:rPr>
          <w:b/>
          <w:sz w:val="22"/>
          <w:lang w:val="en-US"/>
        </w:rPr>
        <w:t xml:space="preserve"> </w:t>
      </w:r>
      <w:r w:rsidRPr="00385279">
        <w:rPr>
          <w:sz w:val="22"/>
          <w:lang w:val="en-US"/>
        </w:rPr>
        <w:t>involvement of human participants</w:t>
      </w:r>
      <w:r w:rsidRPr="00385279">
        <w:rPr>
          <w:b/>
          <w:sz w:val="22"/>
          <w:lang w:val="en-US"/>
        </w:rPr>
        <w:t xml:space="preserve"> </w:t>
      </w:r>
      <w:r w:rsidRPr="00385279">
        <w:rPr>
          <w:sz w:val="22"/>
          <w:lang w:val="en-US"/>
        </w:rPr>
        <w:t xml:space="preserve">will be in one or more of the following categories, they may qualify for an exemption: </w:t>
      </w:r>
      <w:r w:rsidRPr="00385279">
        <w:rPr>
          <w:b/>
          <w:sz w:val="22"/>
          <w:lang w:val="en-US"/>
        </w:rPr>
        <w:t xml:space="preserve"> </w:t>
      </w:r>
    </w:p>
    <w:p w:rsidR="00D57D64" w:rsidRPr="00385279" w:rsidRDefault="00467F8D" w:rsidP="00D57D64">
      <w:pPr>
        <w:spacing w:after="0" w:line="240" w:lineRule="auto"/>
        <w:ind w:left="792" w:firstLine="0"/>
        <w:rPr>
          <w:sz w:val="22"/>
          <w:lang w:val="en-US"/>
        </w:rPr>
      </w:pPr>
      <w:r w:rsidRPr="00385279">
        <w:rPr>
          <w:b/>
          <w:sz w:val="22"/>
          <w:lang w:val="en-US"/>
        </w:rPr>
        <w:t xml:space="preserve"> </w:t>
      </w:r>
    </w:p>
    <w:tbl>
      <w:tblPr>
        <w:tblStyle w:val="TableGrid1"/>
        <w:tblW w:w="0" w:type="auto"/>
        <w:tblLook w:val="04A0" w:firstRow="1" w:lastRow="0" w:firstColumn="1" w:lastColumn="0" w:noHBand="0" w:noVBand="1"/>
      </w:tblPr>
      <w:tblGrid>
        <w:gridCol w:w="9350"/>
      </w:tblGrid>
      <w:tr w:rsidR="00D57D64" w:rsidRPr="00D57D64" w:rsidTr="00D57D64">
        <w:tc>
          <w:tcPr>
            <w:tcW w:w="9350" w:type="dxa"/>
            <w:shd w:val="clear" w:color="auto" w:fill="DEEAF6"/>
          </w:tcPr>
          <w:p w:rsidR="00D57D64" w:rsidRPr="00D57D64" w:rsidRDefault="00D57D64" w:rsidP="00D57D64">
            <w:pPr>
              <w:spacing w:after="0" w:line="240" w:lineRule="auto"/>
              <w:ind w:left="0" w:firstLine="0"/>
              <w:rPr>
                <w:b/>
                <w:bCs/>
                <w:color w:val="auto"/>
                <w:sz w:val="22"/>
              </w:rPr>
            </w:pPr>
            <w:r w:rsidRPr="00D57D64">
              <w:rPr>
                <w:b/>
                <w:bCs/>
                <w:color w:val="auto"/>
                <w:sz w:val="22"/>
              </w:rPr>
              <w:t xml:space="preserve">EXEMPT REVIEW CATEGORIES: </w:t>
            </w:r>
          </w:p>
          <w:p w:rsidR="00D57D64" w:rsidRPr="00D57D64" w:rsidRDefault="00D57D64" w:rsidP="00D57D64">
            <w:pPr>
              <w:spacing w:after="0" w:line="240" w:lineRule="auto"/>
              <w:ind w:left="0" w:firstLine="0"/>
              <w:rPr>
                <w:color w:val="auto"/>
                <w:sz w:val="24"/>
                <w:szCs w:val="24"/>
              </w:rPr>
            </w:pPr>
            <w:r w:rsidRPr="00D57D64">
              <w:rPr>
                <w:b/>
                <w:bCs/>
                <w:i/>
                <w:color w:val="auto"/>
                <w:sz w:val="22"/>
              </w:rPr>
              <w:t>Research that includes audio, video, digital, and image recordings of subjects does not qualify for any of the exempt review categories.</w:t>
            </w:r>
          </w:p>
        </w:tc>
      </w:tr>
      <w:tr w:rsidR="00D57D64" w:rsidRPr="00D57D64" w:rsidTr="00A0509E">
        <w:tc>
          <w:tcPr>
            <w:tcW w:w="9350" w:type="dxa"/>
          </w:tcPr>
          <w:p w:rsidR="00D57D64" w:rsidRPr="00D57D64" w:rsidRDefault="00D57D64" w:rsidP="00D57D64">
            <w:pPr>
              <w:spacing w:after="0" w:line="240" w:lineRule="auto"/>
              <w:ind w:left="0" w:firstLine="0"/>
              <w:rPr>
                <w:b/>
                <w:color w:val="auto"/>
                <w:sz w:val="22"/>
              </w:rPr>
            </w:pPr>
            <w:r w:rsidRPr="00D57D64">
              <w:rPr>
                <w:b/>
                <w:color w:val="auto"/>
                <w:sz w:val="22"/>
              </w:rPr>
              <w:t>Criteria #1: Education .104(d)(1)</w:t>
            </w:r>
          </w:p>
          <w:p w:rsidR="00D57D64" w:rsidRPr="00D57D64" w:rsidRDefault="00D57D64" w:rsidP="00D57D64">
            <w:pPr>
              <w:spacing w:after="0" w:line="240" w:lineRule="auto"/>
              <w:ind w:left="0" w:firstLine="0"/>
              <w:rPr>
                <w:color w:val="auto"/>
                <w:sz w:val="22"/>
              </w:rPr>
            </w:pPr>
            <w:r w:rsidRPr="00D57D64">
              <w:rPr>
                <w:color w:val="auto"/>
                <w:sz w:val="22"/>
              </w:rPr>
              <w:t xml:space="preserve">Research, conducted in established or commonly accepted educational settings, that specifically involves normal educational practices that are not likely to adversely </w:t>
            </w:r>
            <w:proofErr w:type="gramStart"/>
            <w:r w:rsidRPr="00D57D64">
              <w:rPr>
                <w:color w:val="auto"/>
                <w:sz w:val="22"/>
              </w:rPr>
              <w:t>impact</w:t>
            </w:r>
            <w:proofErr w:type="gramEnd"/>
            <w:r w:rsidRPr="00D57D64">
              <w:rPr>
                <w:color w:val="auto"/>
                <w:sz w:val="22"/>
              </w:rPr>
              <w:t xml:space="preserve">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r w:rsidRPr="00D57D64">
              <w:rPr>
                <w:color w:val="auto"/>
                <w:sz w:val="22"/>
              </w:rPr>
              <w:tab/>
            </w:r>
            <w:r w:rsidRPr="00D57D64">
              <w:rPr>
                <w:color w:val="auto"/>
                <w:sz w:val="22"/>
              </w:rPr>
              <w:tab/>
            </w:r>
          </w:p>
          <w:p w:rsidR="00D57D64" w:rsidRPr="00D57D64" w:rsidRDefault="00D57D64" w:rsidP="00D57D64">
            <w:pPr>
              <w:spacing w:after="0" w:line="240" w:lineRule="auto"/>
              <w:ind w:left="0" w:firstLine="0"/>
              <w:rPr>
                <w:color w:val="auto"/>
                <w:sz w:val="22"/>
              </w:rPr>
            </w:pPr>
            <w:r w:rsidRPr="00D57D64">
              <w:rPr>
                <w:color w:val="auto"/>
                <w:sz w:val="22"/>
              </w:rPr>
              <w:t xml:space="preserve">a) In educational settings with normal educational practices? </w:t>
            </w:r>
          </w:p>
          <w:p w:rsidR="00D57D64" w:rsidRDefault="00D57D64" w:rsidP="00D57D64">
            <w:pPr>
              <w:spacing w:after="0" w:line="240" w:lineRule="auto"/>
              <w:ind w:left="0" w:firstLine="0"/>
              <w:rPr>
                <w:color w:val="auto"/>
                <w:sz w:val="22"/>
              </w:rPr>
            </w:pPr>
            <w:proofErr w:type="gramStart"/>
            <w:r w:rsidRPr="00D57D64">
              <w:rPr>
                <w:color w:val="auto"/>
                <w:sz w:val="22"/>
              </w:rPr>
              <w:t>b) Research on Regular/Special educational instructional strategies?</w:t>
            </w:r>
            <w:proofErr w:type="gramEnd"/>
          </w:p>
          <w:p w:rsidR="00D57D64" w:rsidRPr="00D57D64" w:rsidRDefault="00D57D64" w:rsidP="00D57D64">
            <w:pPr>
              <w:spacing w:after="0" w:line="240" w:lineRule="auto"/>
              <w:ind w:left="0" w:firstLine="0"/>
              <w:rPr>
                <w:color w:val="auto"/>
                <w:sz w:val="22"/>
              </w:rPr>
            </w:pPr>
          </w:p>
        </w:tc>
      </w:tr>
      <w:tr w:rsidR="00D57D64" w:rsidRPr="00D57D64" w:rsidTr="00A0509E">
        <w:tc>
          <w:tcPr>
            <w:tcW w:w="9350" w:type="dxa"/>
          </w:tcPr>
          <w:p w:rsidR="00D57D64" w:rsidRPr="00D57D64" w:rsidRDefault="00D57D64" w:rsidP="00D57D64">
            <w:pPr>
              <w:spacing w:after="0" w:line="240" w:lineRule="auto"/>
              <w:ind w:left="0" w:firstLine="0"/>
              <w:rPr>
                <w:b/>
                <w:color w:val="auto"/>
                <w:sz w:val="22"/>
              </w:rPr>
            </w:pPr>
            <w:r w:rsidRPr="00D57D64">
              <w:rPr>
                <w:b/>
                <w:color w:val="auto"/>
                <w:sz w:val="22"/>
              </w:rPr>
              <w:t xml:space="preserve">Criteria #2: Tests, Surveys, Interviews, Observation .104(d)(2) </w:t>
            </w:r>
          </w:p>
          <w:p w:rsidR="00D57D64" w:rsidRPr="00D57D64" w:rsidRDefault="00D57D64" w:rsidP="00D57D64">
            <w:pPr>
              <w:spacing w:after="0" w:line="240" w:lineRule="auto"/>
              <w:ind w:left="0" w:firstLine="0"/>
              <w:rPr>
                <w:color w:val="auto"/>
                <w:sz w:val="22"/>
              </w:rPr>
            </w:pPr>
            <w:r w:rsidRPr="00D57D64">
              <w:rPr>
                <w:color w:val="auto"/>
                <w:sz w:val="22"/>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is met: </w:t>
            </w:r>
          </w:p>
          <w:p w:rsidR="00D57D64" w:rsidRPr="00D57D64" w:rsidRDefault="00D57D64" w:rsidP="00D57D64">
            <w:pPr>
              <w:spacing w:after="0" w:line="240" w:lineRule="auto"/>
              <w:ind w:left="0" w:firstLine="0"/>
              <w:rPr>
                <w:color w:val="auto"/>
                <w:sz w:val="22"/>
              </w:rPr>
            </w:pPr>
            <w:r w:rsidRPr="00D57D64">
              <w:rPr>
                <w:color w:val="auto"/>
                <w:sz w:val="22"/>
              </w:rPr>
              <w:t>(</w:t>
            </w:r>
            <w:proofErr w:type="spellStart"/>
            <w:r w:rsidRPr="00D57D64">
              <w:rPr>
                <w:color w:val="auto"/>
                <w:sz w:val="22"/>
              </w:rPr>
              <w:t>i</w:t>
            </w:r>
            <w:proofErr w:type="spellEnd"/>
            <w:r w:rsidRPr="00D57D64">
              <w:rPr>
                <w:color w:val="auto"/>
                <w:sz w:val="22"/>
              </w:rPr>
              <w:t>)</w:t>
            </w:r>
            <w:r w:rsidRPr="00D57D64">
              <w:rPr>
                <w:color w:val="auto"/>
                <w:sz w:val="22"/>
              </w:rPr>
              <w:tab/>
              <w:t xml:space="preserve">The information obtained is recorded by the investigator in such a manner that the identity of the human subjects cannot readily be ascertained, directly or through identifiers linked to the subjects; </w:t>
            </w:r>
          </w:p>
          <w:p w:rsidR="00D57D64" w:rsidRPr="00D57D64" w:rsidRDefault="00D57D64" w:rsidP="00D57D64">
            <w:pPr>
              <w:spacing w:after="0" w:line="240" w:lineRule="auto"/>
              <w:ind w:left="0" w:firstLine="0"/>
              <w:rPr>
                <w:color w:val="auto"/>
                <w:sz w:val="22"/>
              </w:rPr>
            </w:pPr>
            <w:r w:rsidRPr="00D57D64">
              <w:rPr>
                <w:color w:val="auto"/>
                <w:sz w:val="22"/>
              </w:rPr>
              <w:t>(ii)</w:t>
            </w:r>
            <w:r w:rsidRPr="00D57D64">
              <w:rPr>
                <w:color w:val="auto"/>
                <w:sz w:val="22"/>
              </w:rPr>
              <w:tab/>
              <w:t>Any disclosure of the human subjects’ responses outside the research would not reasonably place the subjects at risk of criminal or civil liability or be damaging to the subjects’ financial standing, employability, educational advancement, or reputation; or</w:t>
            </w:r>
          </w:p>
          <w:p w:rsidR="00D57D64" w:rsidRPr="00D57D64" w:rsidRDefault="00D57D64" w:rsidP="00D57D64">
            <w:pPr>
              <w:spacing w:after="0" w:line="240" w:lineRule="auto"/>
              <w:ind w:left="0" w:firstLine="0"/>
              <w:rPr>
                <w:color w:val="auto"/>
                <w:sz w:val="22"/>
              </w:rPr>
            </w:pPr>
            <w:r w:rsidRPr="00D57D64">
              <w:rPr>
                <w:color w:val="auto"/>
                <w:sz w:val="22"/>
              </w:rPr>
              <w:t>(iii)</w:t>
            </w:r>
            <w:r w:rsidRPr="00D57D64">
              <w:rPr>
                <w:color w:val="auto"/>
                <w:sz w:val="22"/>
              </w:rPr>
              <w:tab/>
              <w:t>The information obtained is recorded by the investigator in such a manner that the identity of the human subjects can readily be ascertained, directly or through identifiers linked to the subjects, and an IRB conducts a limited IRB review to make the determination required by §__.111(a)(7).</w:t>
            </w:r>
          </w:p>
          <w:p w:rsidR="00D57D64" w:rsidRPr="00D57D64" w:rsidRDefault="00D57D64" w:rsidP="00D57D64">
            <w:pPr>
              <w:spacing w:after="0" w:line="240" w:lineRule="auto"/>
              <w:ind w:left="0" w:firstLine="0"/>
              <w:rPr>
                <w:color w:val="auto"/>
                <w:sz w:val="22"/>
              </w:rPr>
            </w:pPr>
            <w:proofErr w:type="gramStart"/>
            <w:r w:rsidRPr="00D57D64">
              <w:rPr>
                <w:color w:val="auto"/>
                <w:sz w:val="22"/>
              </w:rPr>
              <w:t>Involves educational tests(s), surveys, interviews or observation of public behavior?</w:t>
            </w:r>
            <w:proofErr w:type="gramEnd"/>
          </w:p>
          <w:p w:rsidR="00D57D64" w:rsidRPr="00D57D64" w:rsidRDefault="00D57D64" w:rsidP="00D57D64">
            <w:pPr>
              <w:spacing w:after="0" w:line="240" w:lineRule="auto"/>
              <w:ind w:left="0" w:firstLine="0"/>
              <w:rPr>
                <w:color w:val="auto"/>
                <w:sz w:val="22"/>
              </w:rPr>
            </w:pPr>
            <w:r w:rsidRPr="00D57D64">
              <w:rPr>
                <w:color w:val="auto"/>
                <w:sz w:val="22"/>
              </w:rPr>
              <w:t xml:space="preserve">Data recorded to prevent identification of </w:t>
            </w:r>
            <w:proofErr w:type="gramStart"/>
            <w:r w:rsidRPr="00D57D64">
              <w:rPr>
                <w:color w:val="auto"/>
                <w:sz w:val="22"/>
              </w:rPr>
              <w:t>subjects?</w:t>
            </w:r>
            <w:proofErr w:type="gramEnd"/>
          </w:p>
          <w:p w:rsidR="00D57D64" w:rsidRPr="00D57D64" w:rsidRDefault="00D57D64" w:rsidP="00D57D64">
            <w:pPr>
              <w:spacing w:after="0" w:line="240" w:lineRule="auto"/>
              <w:ind w:left="0" w:firstLine="0"/>
              <w:rPr>
                <w:color w:val="auto"/>
                <w:sz w:val="22"/>
              </w:rPr>
            </w:pPr>
            <w:r w:rsidRPr="00D57D64">
              <w:rPr>
                <w:color w:val="auto"/>
                <w:sz w:val="22"/>
              </w:rPr>
              <w:t>Prevention for risk of disclosure of subjects' responses outside the research (placing subjects at risk of criminal, civil liability, or damage financial standing, employability, or reputation)?</w:t>
            </w:r>
          </w:p>
          <w:p w:rsidR="00D57D64" w:rsidRDefault="00D57D64" w:rsidP="00D57D64">
            <w:pPr>
              <w:spacing w:after="0" w:line="240" w:lineRule="auto"/>
              <w:ind w:left="0" w:firstLine="0"/>
              <w:rPr>
                <w:color w:val="auto"/>
                <w:sz w:val="22"/>
              </w:rPr>
            </w:pPr>
          </w:p>
          <w:p w:rsidR="00D57D64" w:rsidRDefault="00D57D64" w:rsidP="00D57D64">
            <w:pPr>
              <w:spacing w:after="0" w:line="240" w:lineRule="auto"/>
              <w:ind w:left="0" w:firstLine="0"/>
              <w:rPr>
                <w:color w:val="auto"/>
                <w:sz w:val="22"/>
              </w:rPr>
            </w:pPr>
            <w:r w:rsidRPr="00D57D64">
              <w:rPr>
                <w:b/>
                <w:color w:val="auto"/>
                <w:sz w:val="22"/>
              </w:rPr>
              <w:t xml:space="preserve">NO EXEMPTION AVAILABLE IF: </w:t>
            </w:r>
            <w:r w:rsidRPr="00D57D64">
              <w:rPr>
                <w:color w:val="auto"/>
                <w:sz w:val="22"/>
              </w:rPr>
              <w:t>children are involved in survey or interview procedures;</w:t>
            </w:r>
            <w:r w:rsidRPr="00D57D64">
              <w:rPr>
                <w:b/>
                <w:color w:val="auto"/>
                <w:sz w:val="22"/>
              </w:rPr>
              <w:t xml:space="preserve"> </w:t>
            </w:r>
            <w:r w:rsidRPr="00D57D64">
              <w:rPr>
                <w:color w:val="auto"/>
                <w:sz w:val="22"/>
              </w:rPr>
              <w:t>children are involved in observation of public behavior and the observers participate in the activities observed.</w:t>
            </w:r>
          </w:p>
          <w:p w:rsidR="00D57D64" w:rsidRPr="00D57D64" w:rsidRDefault="00D57D64" w:rsidP="00D57D64">
            <w:pPr>
              <w:spacing w:after="0" w:line="240" w:lineRule="auto"/>
              <w:ind w:left="0" w:firstLine="0"/>
              <w:rPr>
                <w:b/>
                <w:color w:val="auto"/>
                <w:sz w:val="22"/>
              </w:rPr>
            </w:pPr>
          </w:p>
        </w:tc>
      </w:tr>
      <w:tr w:rsidR="00D57D64" w:rsidRPr="00D57D64" w:rsidTr="00A0509E">
        <w:tc>
          <w:tcPr>
            <w:tcW w:w="9350" w:type="dxa"/>
          </w:tcPr>
          <w:p w:rsidR="00D57D64" w:rsidRPr="00D57D64" w:rsidRDefault="00D57D64" w:rsidP="00D57D64">
            <w:pPr>
              <w:spacing w:after="0" w:line="240" w:lineRule="auto"/>
              <w:ind w:left="0" w:firstLine="0"/>
              <w:rPr>
                <w:b/>
                <w:color w:val="auto"/>
                <w:sz w:val="22"/>
              </w:rPr>
            </w:pPr>
            <w:r w:rsidRPr="00D57D64">
              <w:rPr>
                <w:b/>
                <w:color w:val="auto"/>
                <w:sz w:val="22"/>
              </w:rPr>
              <w:lastRenderedPageBreak/>
              <w:t>Criteria #3: Benign Behavioral Interventions –New</w:t>
            </w:r>
          </w:p>
          <w:p w:rsidR="00D57D64" w:rsidRPr="00D57D64" w:rsidRDefault="00D57D64" w:rsidP="00D57D64">
            <w:pPr>
              <w:spacing w:after="0" w:line="240" w:lineRule="auto"/>
              <w:ind w:left="0" w:firstLine="0"/>
              <w:rPr>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3. (</w:t>
            </w:r>
            <w:proofErr w:type="spellStart"/>
            <w:r w:rsidRPr="00D57D64">
              <w:rPr>
                <w:color w:val="auto"/>
                <w:sz w:val="22"/>
              </w:rPr>
              <w:t>i</w:t>
            </w:r>
            <w:proofErr w:type="spellEnd"/>
            <w:r w:rsidRPr="00D57D64">
              <w:rPr>
                <w:color w:val="auto"/>
                <w:sz w:val="22"/>
              </w:rPr>
              <w:t xml:space="preserve">)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w:t>
            </w:r>
          </w:p>
          <w:p w:rsidR="00D57D64" w:rsidRPr="00D57D64" w:rsidRDefault="00D57D64" w:rsidP="00D57D64">
            <w:pPr>
              <w:spacing w:after="0" w:line="240" w:lineRule="auto"/>
              <w:ind w:left="0" w:firstLine="0"/>
              <w:rPr>
                <w:color w:val="auto"/>
                <w:sz w:val="22"/>
              </w:rPr>
            </w:pPr>
            <w:r w:rsidRPr="00D57D64">
              <w:rPr>
                <w:color w:val="auto"/>
                <w:sz w:val="22"/>
              </w:rPr>
              <w:t xml:space="preserve">   A. The information obtained is recorded by the investigator in such a manner that the identity of the human subjects cannot readily be ascertained, directly or through identifiers linked to the subjects; </w:t>
            </w:r>
          </w:p>
          <w:p w:rsidR="00D57D64" w:rsidRPr="00D57D64" w:rsidRDefault="00D57D64" w:rsidP="00D57D64">
            <w:pPr>
              <w:spacing w:after="0" w:line="240" w:lineRule="auto"/>
              <w:ind w:left="0" w:firstLine="0"/>
              <w:rPr>
                <w:color w:val="auto"/>
                <w:sz w:val="22"/>
              </w:rPr>
            </w:pPr>
            <w:r w:rsidRPr="00D57D64">
              <w:rPr>
                <w:color w:val="auto"/>
                <w:sz w:val="22"/>
              </w:rPr>
              <w:t xml:space="preserve">   B. Any disclosure of the human subjects’ responses outside the research would not reasonably place the subjects at risk of criminal or civil liability or be damaging to the subjects’ financial standing, employability, educational advancement, or reputation; or </w:t>
            </w:r>
          </w:p>
          <w:p w:rsidR="00D57D64" w:rsidRPr="00D57D64" w:rsidRDefault="00D57D64" w:rsidP="00D57D64">
            <w:pPr>
              <w:spacing w:after="0" w:line="240" w:lineRule="auto"/>
              <w:ind w:left="0" w:firstLine="0"/>
              <w:rPr>
                <w:color w:val="auto"/>
                <w:sz w:val="22"/>
              </w:rPr>
            </w:pPr>
            <w:r w:rsidRPr="00D57D64">
              <w:rPr>
                <w:color w:val="auto"/>
                <w:sz w:val="22"/>
              </w:rPr>
              <w:t xml:space="preserve">   C. The information obtained is recorded by the investigator in such a manner that the identity of the human subjects can readily be ascertained, directly or through identifiers linked to the subjects, and an IRB conducts a limited IRB review to make the determination required by .111(a)(7). </w:t>
            </w:r>
          </w:p>
          <w:p w:rsidR="00D57D64" w:rsidRPr="00D57D64" w:rsidRDefault="00D57D64" w:rsidP="00D57D64">
            <w:pPr>
              <w:spacing w:after="0" w:line="240" w:lineRule="auto"/>
              <w:ind w:left="0" w:firstLine="0"/>
              <w:rPr>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 xml:space="preserve">3(ii)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w:t>
            </w:r>
            <w:proofErr w:type="gramStart"/>
            <w:r w:rsidRPr="00D57D64">
              <w:rPr>
                <w:color w:val="auto"/>
                <w:sz w:val="22"/>
              </w:rPr>
              <w:t>are met</w:t>
            </w:r>
            <w:proofErr w:type="gramEnd"/>
            <w:r w:rsidRPr="00D57D64">
              <w:rPr>
                <w:color w:val="auto"/>
                <w:sz w:val="22"/>
              </w:rPr>
              <w:t xml:space="preserve">, examples of such benign behavioral interventions would include having the subjects play an online game, having them solve puzzles under various noise conditions, or having them decide how to allocate a nominal amount of received cash between themselves and someone else. </w:t>
            </w:r>
          </w:p>
          <w:p w:rsidR="00D57D64" w:rsidRPr="00D57D64" w:rsidRDefault="00D57D64" w:rsidP="00D57D64">
            <w:pPr>
              <w:spacing w:after="0" w:line="240" w:lineRule="auto"/>
              <w:ind w:left="0" w:firstLine="0"/>
              <w:rPr>
                <w:color w:val="auto"/>
                <w:sz w:val="22"/>
              </w:rPr>
            </w:pPr>
          </w:p>
          <w:p w:rsidR="00D57D64" w:rsidRDefault="00D57D64" w:rsidP="00D57D64">
            <w:pPr>
              <w:spacing w:after="0" w:line="240" w:lineRule="auto"/>
              <w:ind w:left="0" w:firstLine="0"/>
              <w:rPr>
                <w:color w:val="auto"/>
                <w:sz w:val="22"/>
              </w:rPr>
            </w:pPr>
            <w:proofErr w:type="gramStart"/>
            <w:r w:rsidRPr="00D57D64">
              <w:rPr>
                <w:color w:val="auto"/>
                <w:sz w:val="22"/>
              </w:rPr>
              <w:t>3(iii)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roofErr w:type="gramEnd"/>
          </w:p>
          <w:p w:rsidR="00D57D64" w:rsidRPr="00D57D64" w:rsidRDefault="00D57D64" w:rsidP="00D57D64">
            <w:pPr>
              <w:spacing w:after="0" w:line="240" w:lineRule="auto"/>
              <w:ind w:left="0" w:firstLine="0"/>
              <w:rPr>
                <w:color w:val="auto"/>
                <w:sz w:val="22"/>
              </w:rPr>
            </w:pPr>
          </w:p>
        </w:tc>
      </w:tr>
      <w:tr w:rsidR="00D57D64" w:rsidRPr="00D57D64" w:rsidTr="00A0509E">
        <w:tc>
          <w:tcPr>
            <w:tcW w:w="9350" w:type="dxa"/>
          </w:tcPr>
          <w:p w:rsidR="00D57D64" w:rsidRDefault="00D57D64" w:rsidP="00D57D64">
            <w:pPr>
              <w:spacing w:after="0" w:line="240" w:lineRule="auto"/>
              <w:ind w:left="0" w:firstLine="0"/>
              <w:rPr>
                <w:b/>
                <w:color w:val="auto"/>
                <w:sz w:val="22"/>
              </w:rPr>
            </w:pPr>
            <w:r w:rsidRPr="00D57D64">
              <w:rPr>
                <w:b/>
                <w:color w:val="auto"/>
                <w:sz w:val="22"/>
              </w:rPr>
              <w:t>Criteria #4: Secondary research .104(d)(4)</w:t>
            </w:r>
          </w:p>
          <w:p w:rsidR="00D57D64" w:rsidRPr="00D57D64" w:rsidRDefault="00D57D64" w:rsidP="00D57D64">
            <w:pPr>
              <w:spacing w:after="0" w:line="240" w:lineRule="auto"/>
              <w:ind w:left="0" w:firstLine="0"/>
              <w:rPr>
                <w:b/>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 xml:space="preserve">Secondary research for which consent is not required: Secondary research uses of identifiable private information or identifiable biospecimens, if at least one of the following criteria is met: </w:t>
            </w:r>
          </w:p>
          <w:p w:rsidR="00D57D64" w:rsidRPr="00D57D64" w:rsidRDefault="00D57D64" w:rsidP="00D57D64">
            <w:pPr>
              <w:spacing w:after="0" w:line="240" w:lineRule="auto"/>
              <w:ind w:left="0" w:firstLine="0"/>
              <w:rPr>
                <w:color w:val="auto"/>
                <w:sz w:val="22"/>
              </w:rPr>
            </w:pPr>
            <w:r w:rsidRPr="00D57D64">
              <w:rPr>
                <w:color w:val="auto"/>
                <w:sz w:val="22"/>
              </w:rPr>
              <w:t>(</w:t>
            </w:r>
            <w:proofErr w:type="spellStart"/>
            <w:r w:rsidRPr="00D57D64">
              <w:rPr>
                <w:color w:val="auto"/>
                <w:sz w:val="22"/>
              </w:rPr>
              <w:t>i</w:t>
            </w:r>
            <w:proofErr w:type="spellEnd"/>
            <w:r w:rsidRPr="00D57D64">
              <w:rPr>
                <w:color w:val="auto"/>
                <w:sz w:val="22"/>
              </w:rPr>
              <w:t>)</w:t>
            </w:r>
            <w:r w:rsidRPr="00D57D64">
              <w:rPr>
                <w:color w:val="auto"/>
                <w:sz w:val="22"/>
              </w:rPr>
              <w:tab/>
              <w:t>The identifiable private information or identifiable biospecimens are publicly available;</w:t>
            </w:r>
          </w:p>
          <w:p w:rsidR="00D57D64" w:rsidRPr="00D57D64" w:rsidRDefault="00D57D64" w:rsidP="00D57D64">
            <w:pPr>
              <w:spacing w:after="0" w:line="240" w:lineRule="auto"/>
              <w:ind w:left="0" w:firstLine="0"/>
              <w:rPr>
                <w:color w:val="auto"/>
                <w:sz w:val="22"/>
              </w:rPr>
            </w:pPr>
            <w:r w:rsidRPr="00D57D64">
              <w:rPr>
                <w:color w:val="auto"/>
                <w:sz w:val="22"/>
              </w:rPr>
              <w:t>(ii)</w:t>
            </w:r>
            <w:r w:rsidRPr="00D57D64">
              <w:rPr>
                <w:color w:val="auto"/>
                <w:sz w:val="22"/>
              </w:rPr>
              <w:tab/>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rsidR="00D57D64" w:rsidRPr="00D57D64" w:rsidRDefault="00D57D64" w:rsidP="00D57D64">
            <w:pPr>
              <w:spacing w:after="0" w:line="240" w:lineRule="auto"/>
              <w:ind w:left="0" w:firstLine="0"/>
              <w:rPr>
                <w:color w:val="auto"/>
                <w:sz w:val="22"/>
              </w:rPr>
            </w:pPr>
            <w:r w:rsidRPr="00D57D64">
              <w:rPr>
                <w:color w:val="auto"/>
                <w:sz w:val="22"/>
              </w:rPr>
              <w:t>(iii)</w:t>
            </w:r>
            <w:r w:rsidRPr="00D57D64">
              <w:rPr>
                <w:color w:val="auto"/>
                <w:sz w:val="22"/>
              </w:rPr>
              <w:tab/>
              <w:t>The research involves only information collection and analysis involving the investigator’s use of identifiable health information when that use is regulated under 45 CFR parts 160 and 164…. [HIPAA]</w:t>
            </w:r>
          </w:p>
          <w:p w:rsidR="00D57D64" w:rsidRPr="00D57D64" w:rsidRDefault="00D57D64" w:rsidP="00D57D64">
            <w:pPr>
              <w:spacing w:after="0" w:line="240" w:lineRule="auto"/>
              <w:ind w:left="0" w:firstLine="0"/>
              <w:rPr>
                <w:color w:val="auto"/>
                <w:sz w:val="22"/>
              </w:rPr>
            </w:pPr>
            <w:r w:rsidRPr="00D57D64">
              <w:rPr>
                <w:color w:val="auto"/>
                <w:sz w:val="22"/>
              </w:rPr>
              <w:t>(iv)</w:t>
            </w:r>
            <w:r w:rsidRPr="00D57D64">
              <w:rPr>
                <w:color w:val="auto"/>
                <w:sz w:val="22"/>
              </w:rPr>
              <w:tab/>
              <w:t xml:space="preserve">The research </w:t>
            </w:r>
            <w:proofErr w:type="gramStart"/>
            <w:r w:rsidRPr="00D57D64">
              <w:rPr>
                <w:color w:val="auto"/>
                <w:sz w:val="22"/>
              </w:rPr>
              <w:t>is conducted</w:t>
            </w:r>
            <w:proofErr w:type="gramEnd"/>
            <w:r w:rsidRPr="00D57D64">
              <w:rPr>
                <w:color w:val="auto"/>
                <w:sz w:val="22"/>
              </w:rPr>
              <w:t xml:space="preserve">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[various federal privacy laws.]</w:t>
            </w:r>
          </w:p>
          <w:p w:rsidR="00D57D64" w:rsidRPr="00D57D64" w:rsidRDefault="00D57D64" w:rsidP="00D57D64">
            <w:pPr>
              <w:spacing w:after="0" w:line="240" w:lineRule="auto"/>
              <w:ind w:left="0" w:firstLine="0"/>
              <w:rPr>
                <w:color w:val="auto"/>
                <w:sz w:val="22"/>
              </w:rPr>
            </w:pPr>
            <w:r w:rsidRPr="00D57D64">
              <w:rPr>
                <w:color w:val="auto"/>
                <w:sz w:val="22"/>
              </w:rPr>
              <w:t xml:space="preserve">Important note here: The information or biospecimens </w:t>
            </w:r>
            <w:proofErr w:type="gramStart"/>
            <w:r w:rsidRPr="00D57D64">
              <w:rPr>
                <w:color w:val="auto"/>
                <w:sz w:val="22"/>
              </w:rPr>
              <w:t>don’t</w:t>
            </w:r>
            <w:proofErr w:type="gramEnd"/>
            <w:r w:rsidRPr="00D57D64">
              <w:rPr>
                <w:color w:val="auto"/>
                <w:sz w:val="22"/>
              </w:rPr>
              <w:t xml:space="preserve"> have to be existing at the time of the exemption determination, they can be collected into the future. The data can be collected</w:t>
            </w:r>
          </w:p>
          <w:p w:rsidR="00D57D64" w:rsidRPr="00D57D64" w:rsidRDefault="00D57D64" w:rsidP="00D57D64">
            <w:pPr>
              <w:spacing w:after="0" w:line="240" w:lineRule="auto"/>
              <w:ind w:left="0" w:firstLine="0"/>
              <w:rPr>
                <w:color w:val="auto"/>
                <w:sz w:val="22"/>
              </w:rPr>
            </w:pPr>
            <w:proofErr w:type="gramStart"/>
            <w:r w:rsidRPr="00D57D64">
              <w:rPr>
                <w:color w:val="auto"/>
                <w:sz w:val="22"/>
              </w:rPr>
              <w:t>prospectively</w:t>
            </w:r>
            <w:proofErr w:type="gramEnd"/>
            <w:r w:rsidRPr="00D57D64">
              <w:rPr>
                <w:color w:val="auto"/>
                <w:sz w:val="22"/>
              </w:rPr>
              <w:t xml:space="preserve"> and still be used for exempt research under Category 4 in the Final Rule.</w:t>
            </w:r>
          </w:p>
          <w:p w:rsidR="00D57D64" w:rsidRDefault="00D57D64" w:rsidP="00D57D64">
            <w:pPr>
              <w:spacing w:after="0" w:line="240" w:lineRule="auto"/>
              <w:ind w:left="0" w:firstLine="0"/>
              <w:rPr>
                <w:color w:val="auto"/>
                <w:sz w:val="22"/>
              </w:rPr>
            </w:pPr>
            <w:r w:rsidRPr="00D57D64">
              <w:rPr>
                <w:color w:val="auto"/>
                <w:sz w:val="22"/>
              </w:rPr>
              <w:t>Involves collection/study of existing archival data, specimens, or diagnostic specimens (publicly available or recorded to protect identity of subjects).</w:t>
            </w:r>
          </w:p>
          <w:p w:rsidR="00D57D64" w:rsidRPr="00D57D64" w:rsidRDefault="00D57D64" w:rsidP="00D57D64">
            <w:pPr>
              <w:spacing w:after="0" w:line="240" w:lineRule="auto"/>
              <w:ind w:left="0" w:firstLine="0"/>
              <w:rPr>
                <w:color w:val="auto"/>
                <w:sz w:val="22"/>
              </w:rPr>
            </w:pPr>
          </w:p>
        </w:tc>
      </w:tr>
      <w:tr w:rsidR="00D57D64" w:rsidRPr="00D57D64" w:rsidTr="00A0509E">
        <w:tc>
          <w:tcPr>
            <w:tcW w:w="9350" w:type="dxa"/>
          </w:tcPr>
          <w:p w:rsidR="00D57D64" w:rsidRDefault="00D57D64" w:rsidP="00D57D64">
            <w:pPr>
              <w:spacing w:after="0" w:line="240" w:lineRule="auto"/>
              <w:ind w:left="0" w:firstLine="0"/>
              <w:rPr>
                <w:b/>
                <w:color w:val="auto"/>
                <w:sz w:val="22"/>
              </w:rPr>
            </w:pPr>
            <w:r w:rsidRPr="00D57D64">
              <w:rPr>
                <w:b/>
                <w:color w:val="auto"/>
                <w:sz w:val="22"/>
              </w:rPr>
              <w:lastRenderedPageBreak/>
              <w:t>Criteria #5: Federal Research and Demonstration Project.104(d)(5)</w:t>
            </w:r>
          </w:p>
          <w:p w:rsidR="00D57D64" w:rsidRPr="00D57D64" w:rsidRDefault="00D57D64" w:rsidP="00D57D64">
            <w:pPr>
              <w:spacing w:after="0" w:line="240" w:lineRule="auto"/>
              <w:ind w:left="0" w:firstLine="0"/>
              <w:rPr>
                <w:b/>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 xml:space="preserve">Research and demonstration projects that </w:t>
            </w:r>
            <w:proofErr w:type="gramStart"/>
            <w:r w:rsidRPr="00D57D64">
              <w:rPr>
                <w:color w:val="auto"/>
                <w:sz w:val="22"/>
              </w:rPr>
              <w:t>are conducted or supported by a Federal department or agency, and that</w:t>
            </w:r>
            <w:proofErr w:type="gramEnd"/>
            <w:r w:rsidRPr="00D57D64">
              <w:rPr>
                <w:color w:val="auto"/>
                <w:sz w:val="22"/>
              </w:rPr>
              <w:t xml:space="preserve"> are designed to study, evaluate, improve, or otherwise examine public benefit or service programs.</w:t>
            </w:r>
          </w:p>
          <w:p w:rsidR="00D57D64" w:rsidRPr="00D57D64" w:rsidRDefault="00D57D64" w:rsidP="00D57D64">
            <w:pPr>
              <w:spacing w:after="0" w:line="240" w:lineRule="auto"/>
              <w:ind w:left="0" w:firstLine="0"/>
              <w:rPr>
                <w:color w:val="auto"/>
                <w:sz w:val="22"/>
              </w:rPr>
            </w:pPr>
            <w:r w:rsidRPr="00D57D64">
              <w:rPr>
                <w:color w:val="auto"/>
                <w:sz w:val="22"/>
              </w:rPr>
              <w:t xml:space="preserve">New requirement:  Each agency must maintain a public list of these projects, to </w:t>
            </w:r>
            <w:proofErr w:type="gramStart"/>
            <w:r w:rsidRPr="00D57D64">
              <w:rPr>
                <w:color w:val="auto"/>
                <w:sz w:val="22"/>
              </w:rPr>
              <w:t>be published</w:t>
            </w:r>
            <w:proofErr w:type="gramEnd"/>
            <w:r w:rsidRPr="00D57D64">
              <w:rPr>
                <w:color w:val="auto"/>
                <w:sz w:val="22"/>
              </w:rPr>
              <w:t xml:space="preserve"> prior to conducting the research. Research and/or demonstration project, subject to approval of  department/agency head, designed to  study, evaluate:</w:t>
            </w:r>
          </w:p>
          <w:p w:rsidR="00D57D64" w:rsidRPr="00D57D64" w:rsidRDefault="00D57D64" w:rsidP="00D57D64">
            <w:pPr>
              <w:spacing w:after="0" w:line="240" w:lineRule="auto"/>
              <w:ind w:left="0" w:firstLine="0"/>
              <w:rPr>
                <w:color w:val="auto"/>
                <w:sz w:val="22"/>
              </w:rPr>
            </w:pPr>
            <w:r w:rsidRPr="00D57D64">
              <w:rPr>
                <w:color w:val="auto"/>
                <w:sz w:val="22"/>
              </w:rPr>
              <w:t>public benefit or service programs</w:t>
            </w:r>
          </w:p>
          <w:p w:rsidR="00D57D64" w:rsidRPr="00D57D64" w:rsidRDefault="00D57D64" w:rsidP="00D57D64">
            <w:pPr>
              <w:spacing w:after="0" w:line="240" w:lineRule="auto"/>
              <w:ind w:left="0" w:firstLine="0"/>
              <w:rPr>
                <w:color w:val="auto"/>
                <w:sz w:val="22"/>
              </w:rPr>
            </w:pPr>
            <w:r w:rsidRPr="00D57D64">
              <w:rPr>
                <w:color w:val="auto"/>
                <w:sz w:val="22"/>
              </w:rPr>
              <w:t>procedures to obtain benefits/services</w:t>
            </w:r>
          </w:p>
          <w:p w:rsidR="00D57D64" w:rsidRPr="00D57D64" w:rsidRDefault="00D57D64" w:rsidP="00D57D64">
            <w:pPr>
              <w:spacing w:after="0" w:line="240" w:lineRule="auto"/>
              <w:ind w:left="0" w:firstLine="0"/>
              <w:rPr>
                <w:color w:val="auto"/>
                <w:sz w:val="22"/>
              </w:rPr>
            </w:pPr>
            <w:r w:rsidRPr="00D57D64">
              <w:rPr>
                <w:color w:val="auto"/>
                <w:sz w:val="22"/>
              </w:rPr>
              <w:t>changes/alternatives to programs/procedures</w:t>
            </w:r>
          </w:p>
          <w:p w:rsidR="00D57D64" w:rsidRPr="00D57D64" w:rsidRDefault="00D57D64" w:rsidP="00D57D64">
            <w:pPr>
              <w:spacing w:after="0" w:line="240" w:lineRule="auto"/>
              <w:ind w:left="0" w:firstLine="0"/>
              <w:rPr>
                <w:color w:val="auto"/>
                <w:sz w:val="22"/>
              </w:rPr>
            </w:pPr>
            <w:r w:rsidRPr="00D57D64">
              <w:rPr>
                <w:color w:val="auto"/>
                <w:sz w:val="22"/>
              </w:rPr>
              <w:t>changes in methods/levels of payment for benefits/services</w:t>
            </w:r>
          </w:p>
          <w:p w:rsidR="00D57D64" w:rsidRPr="00D57D64" w:rsidRDefault="00D57D64" w:rsidP="00D57D64">
            <w:pPr>
              <w:spacing w:after="0" w:line="240" w:lineRule="auto"/>
              <w:ind w:left="0" w:firstLine="0"/>
              <w:rPr>
                <w:color w:val="auto"/>
                <w:sz w:val="22"/>
              </w:rPr>
            </w:pPr>
          </w:p>
        </w:tc>
      </w:tr>
      <w:tr w:rsidR="00D57D64" w:rsidRPr="00D57D64" w:rsidTr="00A0509E">
        <w:tc>
          <w:tcPr>
            <w:tcW w:w="9350" w:type="dxa"/>
          </w:tcPr>
          <w:p w:rsidR="00D57D64" w:rsidRDefault="00D57D64" w:rsidP="00D57D64">
            <w:pPr>
              <w:spacing w:after="0" w:line="240" w:lineRule="auto"/>
              <w:ind w:left="0" w:firstLine="0"/>
              <w:rPr>
                <w:color w:val="auto"/>
                <w:sz w:val="22"/>
              </w:rPr>
            </w:pPr>
            <w:r w:rsidRPr="00D57D64">
              <w:rPr>
                <w:b/>
                <w:color w:val="auto"/>
                <w:sz w:val="22"/>
              </w:rPr>
              <w:t>Criteria #6: Unchanged Taste and food quality evaluation and consumer acceptance studies. .104(d)(6</w:t>
            </w:r>
            <w:r w:rsidRPr="00D57D64">
              <w:rPr>
                <w:color w:val="auto"/>
                <w:sz w:val="22"/>
              </w:rPr>
              <w:t xml:space="preserve">) </w:t>
            </w:r>
          </w:p>
          <w:p w:rsidR="00D57D64" w:rsidRPr="00D57D64" w:rsidRDefault="00D57D64" w:rsidP="00D57D64">
            <w:pPr>
              <w:spacing w:after="0" w:line="240" w:lineRule="auto"/>
              <w:ind w:left="0" w:firstLine="0"/>
              <w:rPr>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Involves taste and food quality evaluation; consumer acceptance studies</w:t>
            </w:r>
          </w:p>
          <w:p w:rsidR="00D57D64" w:rsidRPr="00D57D64" w:rsidRDefault="00D57D64" w:rsidP="00D57D64">
            <w:pPr>
              <w:spacing w:after="0" w:line="240" w:lineRule="auto"/>
              <w:ind w:left="0" w:firstLine="0"/>
              <w:rPr>
                <w:color w:val="auto"/>
                <w:sz w:val="22"/>
              </w:rPr>
            </w:pPr>
            <w:r w:rsidRPr="00D57D64">
              <w:rPr>
                <w:color w:val="auto"/>
                <w:sz w:val="22"/>
              </w:rPr>
              <w:t>a)</w:t>
            </w:r>
            <w:r w:rsidRPr="00D57D64">
              <w:rPr>
                <w:color w:val="auto"/>
                <w:sz w:val="22"/>
              </w:rPr>
              <w:tab/>
              <w:t>wholesome foods without additives are consumed</w:t>
            </w:r>
          </w:p>
          <w:p w:rsidR="00D57D64" w:rsidRPr="00D57D64" w:rsidRDefault="00D57D64" w:rsidP="00D57D64">
            <w:pPr>
              <w:spacing w:after="0" w:line="240" w:lineRule="auto"/>
              <w:ind w:left="0" w:firstLine="0"/>
              <w:rPr>
                <w:color w:val="auto"/>
                <w:sz w:val="22"/>
              </w:rPr>
            </w:pPr>
            <w:r w:rsidRPr="00D57D64">
              <w:rPr>
                <w:color w:val="auto"/>
                <w:sz w:val="22"/>
              </w:rPr>
              <w:t>b)</w:t>
            </w:r>
            <w:r w:rsidRPr="00D57D64">
              <w:rPr>
                <w:color w:val="auto"/>
                <w:sz w:val="22"/>
              </w:rPr>
              <w:tab/>
              <w:t>food consumed is at or below safe level; agricultural chemical, environmental contaminant at or below safe levels (established by FDA, EPA or USDA)</w:t>
            </w:r>
          </w:p>
        </w:tc>
      </w:tr>
      <w:tr w:rsidR="00D57D64" w:rsidRPr="00D57D64" w:rsidTr="00A0509E">
        <w:tc>
          <w:tcPr>
            <w:tcW w:w="9350" w:type="dxa"/>
          </w:tcPr>
          <w:p w:rsidR="00D57D64" w:rsidRDefault="00D57D64" w:rsidP="00D57D64">
            <w:pPr>
              <w:spacing w:after="0" w:line="240" w:lineRule="auto"/>
              <w:ind w:left="0" w:firstLine="0"/>
              <w:rPr>
                <w:b/>
                <w:color w:val="auto"/>
                <w:sz w:val="22"/>
              </w:rPr>
            </w:pPr>
            <w:r w:rsidRPr="00D57D64">
              <w:rPr>
                <w:b/>
                <w:color w:val="auto"/>
                <w:sz w:val="22"/>
              </w:rPr>
              <w:t>Criteria #7 New: Storage and maintenance for secondary research .104(d)(7)</w:t>
            </w:r>
          </w:p>
          <w:p w:rsidR="00D57D64" w:rsidRPr="00D57D64" w:rsidRDefault="00D57D64" w:rsidP="00D57D64">
            <w:pPr>
              <w:spacing w:after="0" w:line="240" w:lineRule="auto"/>
              <w:ind w:left="0" w:firstLine="0"/>
              <w:rPr>
                <w:b/>
                <w:color w:val="auto"/>
                <w:sz w:val="22"/>
              </w:rPr>
            </w:pPr>
          </w:p>
          <w:p w:rsidR="00D57D64" w:rsidRPr="00D57D64" w:rsidRDefault="00D57D64" w:rsidP="00D57D64">
            <w:pPr>
              <w:spacing w:after="0" w:line="240" w:lineRule="auto"/>
              <w:ind w:left="0" w:firstLine="0"/>
              <w:rPr>
                <w:color w:val="auto"/>
                <w:sz w:val="22"/>
              </w:rPr>
            </w:pPr>
            <w:r w:rsidRPr="00D57D64">
              <w:rPr>
                <w:color w:val="auto"/>
                <w:sz w:val="22"/>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 46.111(a)(8). This category is for the storage of identifiable biospecimens and identifiable private information, prior to secondary analysis.</w:t>
            </w:r>
          </w:p>
          <w:p w:rsidR="00D57D64" w:rsidRPr="00D57D64" w:rsidRDefault="00D57D64" w:rsidP="00D57D64">
            <w:pPr>
              <w:spacing w:after="0" w:line="240" w:lineRule="auto"/>
              <w:ind w:left="0" w:firstLine="0"/>
              <w:rPr>
                <w:color w:val="auto"/>
                <w:sz w:val="22"/>
              </w:rPr>
            </w:pPr>
            <w:r w:rsidRPr="00D57D64">
              <w:rPr>
                <w:color w:val="auto"/>
                <w:sz w:val="22"/>
              </w:rPr>
              <w:t>Note: The storage and maintenance may be exempt if the IRB conducts a limited IRB review to determine that there are adequate provisions to protect the privacy of subjects and maintain the confidentiality of data, and if broad consent is obtained.</w:t>
            </w:r>
          </w:p>
        </w:tc>
      </w:tr>
      <w:tr w:rsidR="00D57D64" w:rsidRPr="00D57D64" w:rsidTr="00A0509E">
        <w:tc>
          <w:tcPr>
            <w:tcW w:w="9350" w:type="dxa"/>
          </w:tcPr>
          <w:p w:rsidR="00D57D64" w:rsidRDefault="00D57D64" w:rsidP="00D57D64">
            <w:pPr>
              <w:spacing w:after="0" w:line="240" w:lineRule="auto"/>
              <w:ind w:left="0" w:firstLine="0"/>
              <w:rPr>
                <w:color w:val="auto"/>
                <w:sz w:val="22"/>
              </w:rPr>
            </w:pPr>
            <w:r w:rsidRPr="00D57D64">
              <w:rPr>
                <w:b/>
                <w:color w:val="auto"/>
                <w:sz w:val="22"/>
              </w:rPr>
              <w:t>Criteria #8 New: Use of information or biospecimens in secondary research .104(d)(8)</w:t>
            </w:r>
          </w:p>
          <w:p w:rsidR="00D57D64" w:rsidRPr="00D57D64" w:rsidRDefault="00D57D64" w:rsidP="00D57D64">
            <w:pPr>
              <w:spacing w:after="0" w:line="240" w:lineRule="auto"/>
              <w:ind w:left="0" w:firstLine="0"/>
              <w:rPr>
                <w:color w:val="auto"/>
                <w:sz w:val="22"/>
              </w:rPr>
            </w:pPr>
          </w:p>
          <w:p w:rsidR="00D57D64" w:rsidRPr="00D57D64" w:rsidRDefault="00D57D64" w:rsidP="00D57D64">
            <w:pPr>
              <w:spacing w:after="0" w:line="240" w:lineRule="auto"/>
              <w:ind w:left="0" w:firstLine="0"/>
              <w:rPr>
                <w:color w:val="auto"/>
                <w:sz w:val="22"/>
              </w:rPr>
            </w:pPr>
            <w:proofErr w:type="gramStart"/>
            <w:r w:rsidRPr="00D57D64">
              <w:rPr>
                <w:color w:val="auto"/>
                <w:sz w:val="22"/>
              </w:rPr>
              <w:t>Secondary research for which broad consent is required: Research involving the use of identifiable private information or identifiable biospecimens for secondary research use, if the following criteria are met: – Broad consent was obtained, – Consent documented or has waiver of documentation, – IRB conducts a limited review under 46.111(a)(7), and – The investigator does not include returning individual research results to subjects as part of the study plan.</w:t>
            </w:r>
            <w:proofErr w:type="gramEnd"/>
          </w:p>
        </w:tc>
      </w:tr>
    </w:tbl>
    <w:p w:rsidR="00C10180" w:rsidRDefault="00C10180" w:rsidP="00A06C6B">
      <w:pPr>
        <w:spacing w:after="0" w:line="240" w:lineRule="auto"/>
        <w:ind w:left="0" w:firstLine="0"/>
        <w:rPr>
          <w:sz w:val="22"/>
          <w:lang w:val="en-US"/>
        </w:rPr>
      </w:pPr>
    </w:p>
    <w:p w:rsidR="00D57D64" w:rsidRPr="00D57D64" w:rsidRDefault="00D57D64" w:rsidP="00D57D64">
      <w:pPr>
        <w:spacing w:after="0" w:line="240" w:lineRule="auto"/>
        <w:ind w:left="0" w:firstLine="0"/>
        <w:rPr>
          <w:b/>
          <w:sz w:val="22"/>
          <w:lang w:val="en-US"/>
        </w:rPr>
      </w:pPr>
      <w:r w:rsidRPr="00D57D64">
        <w:rPr>
          <w:b/>
          <w:sz w:val="22"/>
          <w:lang w:val="en-US"/>
        </w:rPr>
        <w:t>Comments:</w:t>
      </w:r>
    </w:p>
    <w:p w:rsidR="00D57D64" w:rsidRPr="00D57D64" w:rsidRDefault="00D57D64" w:rsidP="00D57D64">
      <w:pPr>
        <w:numPr>
          <w:ilvl w:val="0"/>
          <w:numId w:val="5"/>
        </w:numPr>
        <w:spacing w:after="0" w:line="240" w:lineRule="auto"/>
        <w:rPr>
          <w:sz w:val="22"/>
          <w:lang w:val="en-US"/>
        </w:rPr>
      </w:pPr>
      <w:r w:rsidRPr="00D57D64">
        <w:rPr>
          <w:sz w:val="22"/>
          <w:lang w:val="en-US"/>
        </w:rPr>
        <w:t>Final Rule allows research with children to be exempt for categories 1, 4, 5, 6, 7, and 8.</w:t>
      </w:r>
    </w:p>
    <w:p w:rsidR="00D57D64" w:rsidRPr="00D57D64" w:rsidRDefault="00D57D64" w:rsidP="00D57D64">
      <w:pPr>
        <w:numPr>
          <w:ilvl w:val="0"/>
          <w:numId w:val="5"/>
        </w:numPr>
        <w:spacing w:after="0" w:line="240" w:lineRule="auto"/>
        <w:rPr>
          <w:sz w:val="22"/>
          <w:lang w:val="en-US"/>
        </w:rPr>
      </w:pPr>
      <w:r w:rsidRPr="00D57D64">
        <w:rPr>
          <w:sz w:val="22"/>
          <w:lang w:val="en-US"/>
        </w:rPr>
        <w:t xml:space="preserve">For exempt </w:t>
      </w:r>
      <w:proofErr w:type="gramStart"/>
      <w:r w:rsidRPr="00D57D64">
        <w:rPr>
          <w:sz w:val="22"/>
          <w:lang w:val="en-US"/>
        </w:rPr>
        <w:t>categories</w:t>
      </w:r>
      <w:proofErr w:type="gramEnd"/>
      <w:r w:rsidRPr="00D57D64">
        <w:rPr>
          <w:sz w:val="22"/>
          <w:lang w:val="en-US"/>
        </w:rPr>
        <w:t xml:space="preserve"> 7 &amp; 8, </w:t>
      </w:r>
      <w:r w:rsidRPr="00D57D64">
        <w:rPr>
          <w:b/>
          <w:sz w:val="22"/>
          <w:lang w:val="en-US"/>
        </w:rPr>
        <w:t xml:space="preserve">limited IRB review </w:t>
      </w:r>
      <w:r w:rsidRPr="00D57D64">
        <w:rPr>
          <w:sz w:val="22"/>
          <w:lang w:val="en-US"/>
        </w:rPr>
        <w:t xml:space="preserve">is always required. </w:t>
      </w:r>
    </w:p>
    <w:p w:rsidR="00D57D64" w:rsidRPr="00D57D64" w:rsidRDefault="00D57D64" w:rsidP="00D57D64">
      <w:pPr>
        <w:numPr>
          <w:ilvl w:val="0"/>
          <w:numId w:val="5"/>
        </w:numPr>
        <w:spacing w:after="0" w:line="240" w:lineRule="auto"/>
        <w:rPr>
          <w:sz w:val="22"/>
          <w:lang w:val="en-US"/>
        </w:rPr>
      </w:pPr>
      <w:proofErr w:type="gramStart"/>
      <w:r w:rsidRPr="00D57D64">
        <w:rPr>
          <w:sz w:val="22"/>
          <w:lang w:val="en-US"/>
        </w:rPr>
        <w:t>It’s</w:t>
      </w:r>
      <w:proofErr w:type="gramEnd"/>
      <w:r w:rsidRPr="00D57D64">
        <w:rPr>
          <w:sz w:val="22"/>
          <w:lang w:val="en-US"/>
        </w:rPr>
        <w:t xml:space="preserve"> also important to remember that exempt categories 7 &amp; 8 are only available for use when </w:t>
      </w:r>
      <w:r w:rsidRPr="00D57D64">
        <w:rPr>
          <w:b/>
          <w:sz w:val="22"/>
          <w:lang w:val="en-US"/>
        </w:rPr>
        <w:t>broad consent</w:t>
      </w:r>
      <w:r w:rsidRPr="00D57D64">
        <w:rPr>
          <w:sz w:val="22"/>
          <w:lang w:val="en-US"/>
        </w:rPr>
        <w:t xml:space="preserve"> will be (or has been) obtained.</w:t>
      </w:r>
    </w:p>
    <w:p w:rsidR="00D57D64" w:rsidRPr="00385279" w:rsidRDefault="00D57D64" w:rsidP="00A06C6B">
      <w:pPr>
        <w:spacing w:after="0" w:line="240" w:lineRule="auto"/>
        <w:ind w:left="0" w:firstLine="0"/>
        <w:rPr>
          <w:sz w:val="22"/>
          <w:lang w:val="en-US"/>
        </w:rPr>
      </w:pPr>
    </w:p>
    <w:p w:rsidR="00C10180" w:rsidRPr="00385279" w:rsidRDefault="00467F8D" w:rsidP="00A06C6B">
      <w:pPr>
        <w:pStyle w:val="Heading2"/>
        <w:spacing w:after="0" w:line="240" w:lineRule="auto"/>
        <w:ind w:left="-5"/>
        <w:rPr>
          <w:sz w:val="22"/>
          <w:lang w:val="en-US"/>
        </w:rPr>
      </w:pPr>
      <w:r w:rsidRPr="00385279">
        <w:rPr>
          <w:sz w:val="22"/>
          <w:lang w:val="en-US"/>
        </w:rPr>
        <w:t>5.</w:t>
      </w:r>
      <w:r w:rsidRPr="00385279">
        <w:rPr>
          <w:rFonts w:ascii="Arial" w:eastAsia="Arial" w:hAnsi="Arial" w:cs="Arial"/>
          <w:sz w:val="22"/>
          <w:lang w:val="en-US"/>
        </w:rPr>
        <w:t xml:space="preserve"> </w:t>
      </w:r>
      <w:r w:rsidRPr="00385279">
        <w:rPr>
          <w:sz w:val="22"/>
          <w:lang w:val="en-US"/>
        </w:rPr>
        <w:t xml:space="preserve">Regulations and Guidance Applicable to Exemption from IRB Review for Research with Human Participants </w:t>
      </w:r>
    </w:p>
    <w:p w:rsidR="00A06C6B" w:rsidRPr="00385279" w:rsidRDefault="00A06C6B" w:rsidP="00A06C6B">
      <w:pPr>
        <w:spacing w:after="0" w:line="240" w:lineRule="auto"/>
        <w:ind w:left="355"/>
        <w:rPr>
          <w:sz w:val="22"/>
          <w:lang w:val="en-US"/>
        </w:rPr>
      </w:pPr>
    </w:p>
    <w:p w:rsidR="00C10180" w:rsidRPr="00385279" w:rsidRDefault="00467F8D" w:rsidP="00A06C6B">
      <w:pPr>
        <w:spacing w:after="0" w:line="240" w:lineRule="auto"/>
        <w:ind w:left="355"/>
        <w:rPr>
          <w:sz w:val="22"/>
          <w:lang w:val="en-US"/>
        </w:rPr>
      </w:pPr>
      <w:r w:rsidRPr="00385279">
        <w:rPr>
          <w:sz w:val="22"/>
          <w:lang w:val="en-US"/>
        </w:rPr>
        <w:t>5.1.</w:t>
      </w:r>
      <w:r w:rsidRPr="00385279">
        <w:rPr>
          <w:rFonts w:ascii="Arial" w:eastAsia="Arial" w:hAnsi="Arial" w:cs="Arial"/>
          <w:sz w:val="22"/>
          <w:lang w:val="en-US"/>
        </w:rPr>
        <w:t xml:space="preserve"> </w:t>
      </w:r>
      <w:r w:rsidRPr="00385279">
        <w:rPr>
          <w:sz w:val="22"/>
          <w:lang w:val="en-US"/>
        </w:rPr>
        <w:t xml:space="preserve">Federal Regulations </w:t>
      </w:r>
    </w:p>
    <w:p w:rsidR="00C10180" w:rsidRPr="00385279" w:rsidRDefault="00467F8D" w:rsidP="00A06C6B">
      <w:pPr>
        <w:spacing w:after="0" w:line="240" w:lineRule="auto"/>
        <w:ind w:left="1090"/>
        <w:rPr>
          <w:sz w:val="22"/>
          <w:lang w:val="en-US"/>
        </w:rPr>
      </w:pPr>
      <w:r>
        <w:rPr>
          <w:sz w:val="22"/>
          <w:lang w:val="en-US"/>
        </w:rPr>
        <w:t>CCC-UPR</w:t>
      </w:r>
      <w:r w:rsidR="00284006" w:rsidRPr="00385279">
        <w:rPr>
          <w:sz w:val="22"/>
          <w:lang w:val="en-US"/>
        </w:rPr>
        <w:t xml:space="preserve"> has filed a Federal Wide Assurance (FWA) with the Office for Human Research Protections (OHRP) of the U.S. Department of Health &amp; Human Services guaranteeing its </w:t>
      </w:r>
      <w:r w:rsidR="00284006" w:rsidRPr="00385279">
        <w:rPr>
          <w:sz w:val="22"/>
          <w:lang w:val="en-US"/>
        </w:rPr>
        <w:lastRenderedPageBreak/>
        <w:t xml:space="preserve">application of the federal policy for the protection of human participants in 45 CFR 46 when engaging in human participant research funded by the Public Health Service (PHS). According to institutional policy, the same standards apply to all human participant research, regardless of funding support.  </w:t>
      </w:r>
    </w:p>
    <w:p w:rsidR="00C10180" w:rsidRPr="00385279" w:rsidRDefault="00467F8D" w:rsidP="00D57D64">
      <w:pPr>
        <w:numPr>
          <w:ilvl w:val="0"/>
          <w:numId w:val="4"/>
        </w:numPr>
        <w:spacing w:after="0" w:line="240" w:lineRule="auto"/>
        <w:ind w:hanging="360"/>
        <w:rPr>
          <w:sz w:val="22"/>
          <w:lang w:val="en-US"/>
        </w:rPr>
      </w:pPr>
      <w:r w:rsidRPr="00385279">
        <w:rPr>
          <w:sz w:val="22"/>
          <w:lang w:val="en-US"/>
        </w:rPr>
        <w:t xml:space="preserve">Eligibility of certain research protocols to be exempt from IRB review: 45 CFR 46.101(b) </w:t>
      </w:r>
      <w:hyperlink r:id="rId9" w:history="1">
        <w:r w:rsidR="00D57D64" w:rsidRPr="003C3D78">
          <w:rPr>
            <w:rStyle w:val="Hyperlink"/>
            <w:sz w:val="22"/>
            <w:u w:val="none"/>
            <w:lang w:val="en-US"/>
          </w:rPr>
          <w:t>https://www.hhs.gov/ohrp/regulations-and-policy/regulations/45-cfr-46/index.html</w:t>
        </w:r>
      </w:hyperlink>
      <w:r w:rsidR="00D57D64">
        <w:rPr>
          <w:color w:val="0000FF"/>
          <w:sz w:val="22"/>
          <w:u w:val="single" w:color="0000FF"/>
          <w:lang w:val="en-US"/>
        </w:rPr>
        <w:t xml:space="preserve"> </w:t>
      </w:r>
    </w:p>
    <w:p w:rsidR="00C10180" w:rsidRPr="003C3D78" w:rsidRDefault="00467F8D" w:rsidP="00D57D64">
      <w:pPr>
        <w:numPr>
          <w:ilvl w:val="0"/>
          <w:numId w:val="4"/>
        </w:numPr>
        <w:spacing w:after="0" w:line="240" w:lineRule="auto"/>
        <w:ind w:hanging="360"/>
        <w:rPr>
          <w:sz w:val="22"/>
          <w:lang w:val="en-US"/>
        </w:rPr>
      </w:pPr>
      <w:r w:rsidRPr="00385279">
        <w:rPr>
          <w:sz w:val="22"/>
          <w:lang w:val="en-US"/>
        </w:rPr>
        <w:t xml:space="preserve">OHRP has developed Decision Charts for guidance on eligibility for exemption from regulatory requirements for IRB review: </w:t>
      </w:r>
      <w:hyperlink r:id="rId10" w:history="1">
        <w:r w:rsidR="00D57D64" w:rsidRPr="003C3D78">
          <w:rPr>
            <w:rStyle w:val="Hyperlink"/>
            <w:sz w:val="22"/>
            <w:u w:val="none"/>
            <w:lang w:val="en-US"/>
          </w:rPr>
          <w:t>https://www.hhs.gov/ohrp/regulations-and-policy/decision-charts/index.html#c2</w:t>
        </w:r>
      </w:hyperlink>
      <w:r w:rsidR="00D57D64" w:rsidRPr="003C3D78">
        <w:rPr>
          <w:color w:val="0000FF"/>
          <w:sz w:val="22"/>
          <w:lang w:val="en-US"/>
        </w:rPr>
        <w:t xml:space="preserve"> </w:t>
      </w:r>
    </w:p>
    <w:p w:rsidR="00C10180" w:rsidRPr="00385279" w:rsidRDefault="00467F8D" w:rsidP="00A06C6B">
      <w:pPr>
        <w:spacing w:after="0" w:line="240" w:lineRule="auto"/>
        <w:ind w:left="0" w:firstLine="0"/>
        <w:rPr>
          <w:sz w:val="22"/>
          <w:lang w:val="en-US"/>
        </w:rPr>
      </w:pPr>
      <w:r w:rsidRPr="00385279">
        <w:rPr>
          <w:sz w:val="22"/>
          <w:lang w:val="en-US"/>
        </w:rPr>
        <w:t xml:space="preserve"> </w:t>
      </w:r>
    </w:p>
    <w:p w:rsidR="00C10180" w:rsidRPr="00385279" w:rsidRDefault="00467F8D" w:rsidP="00A06C6B">
      <w:pPr>
        <w:spacing w:after="0" w:line="240" w:lineRule="auto"/>
        <w:ind w:left="0" w:firstLine="0"/>
        <w:rPr>
          <w:sz w:val="22"/>
          <w:lang w:val="en-US"/>
        </w:rPr>
      </w:pPr>
      <w:r w:rsidRPr="00385279">
        <w:rPr>
          <w:sz w:val="22"/>
          <w:lang w:val="en-US"/>
        </w:rPr>
        <w:t xml:space="preserve"> </w:t>
      </w:r>
    </w:p>
    <w:p w:rsidR="00C10180" w:rsidRPr="00385279" w:rsidRDefault="00C10180" w:rsidP="00A06C6B">
      <w:pPr>
        <w:spacing w:after="0" w:line="240" w:lineRule="auto"/>
        <w:ind w:left="0" w:firstLine="0"/>
        <w:rPr>
          <w:sz w:val="22"/>
          <w:lang w:val="en-US"/>
        </w:rPr>
      </w:pPr>
      <w:bookmarkStart w:id="0" w:name="_GoBack"/>
      <w:bookmarkEnd w:id="0"/>
    </w:p>
    <w:sectPr w:rsidR="00C10180" w:rsidRPr="00385279">
      <w:footerReference w:type="even" r:id="rId11"/>
      <w:footerReference w:type="default" r:id="rId12"/>
      <w:footerReference w:type="first" r:id="rId13"/>
      <w:pgSz w:w="12240" w:h="15840"/>
      <w:pgMar w:top="876" w:right="1226" w:bottom="2013" w:left="1152" w:header="72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4D" w:rsidRDefault="008A6E4D">
      <w:pPr>
        <w:spacing w:after="0" w:line="240" w:lineRule="auto"/>
      </w:pPr>
      <w:r>
        <w:separator/>
      </w:r>
    </w:p>
  </w:endnote>
  <w:endnote w:type="continuationSeparator" w:id="0">
    <w:p w:rsidR="008A6E4D" w:rsidRDefault="008A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80" w:rsidRPr="00054528" w:rsidRDefault="00467F8D">
    <w:pPr>
      <w:spacing w:after="0" w:line="259" w:lineRule="auto"/>
      <w:ind w:left="0" w:firstLine="0"/>
      <w:rPr>
        <w:lang w:val="en-US"/>
      </w:rPr>
    </w:pPr>
    <w:r w:rsidRPr="00054528">
      <w:rPr>
        <w:lang w:val="en-US"/>
      </w:rPr>
      <w:t xml:space="preserve"> </w:t>
    </w:r>
  </w:p>
  <w:p w:rsidR="00C10180" w:rsidRPr="00054528" w:rsidRDefault="00467F8D">
    <w:pPr>
      <w:spacing w:after="0" w:line="259" w:lineRule="auto"/>
      <w:ind w:left="0" w:right="-377" w:firstLine="0"/>
      <w:rPr>
        <w:lang w:val="en-US"/>
      </w:rP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page">
                <wp:posOffset>731520</wp:posOffset>
              </wp:positionH>
              <wp:positionV relativeFrom="page">
                <wp:posOffset>9100566</wp:posOffset>
              </wp:positionV>
              <wp:extent cx="6501384" cy="9525"/>
              <wp:effectExtent l="0" t="0" r="0" b="0"/>
              <wp:wrapSquare wrapText="bothSides"/>
              <wp:docPr id="3191" name="Group 3191"/>
              <wp:cNvGraphicFramePr/>
              <a:graphic xmlns:a="http://schemas.openxmlformats.org/drawingml/2006/main">
                <a:graphicData uri="http://schemas.microsoft.com/office/word/2010/wordprocessingGroup">
                  <wpg:wgp>
                    <wpg:cNvGrpSpPr/>
                    <wpg:grpSpPr>
                      <a:xfrm>
                        <a:off x="0" y="0"/>
                        <a:ext cx="6501384" cy="9525"/>
                        <a:chOff x="0" y="0"/>
                        <a:chExt cx="6501384" cy="9525"/>
                      </a:xfrm>
                    </wpg:grpSpPr>
                    <wps:wsp>
                      <wps:cNvPr id="3192" name="Shape 3192"/>
                      <wps:cNvSpPr/>
                      <wps:spPr>
                        <a:xfrm>
                          <a:off x="0" y="0"/>
                          <a:ext cx="6501384" cy="0"/>
                        </a:xfrm>
                        <a:custGeom>
                          <a:avLst/>
                          <a:gdLst/>
                          <a:ahLst/>
                          <a:cxnLst/>
                          <a:rect l="0" t="0" r="0" b="0"/>
                          <a:pathLst>
                            <a:path w="6501384">
                              <a:moveTo>
                                <a:pt x="0" y="0"/>
                              </a:moveTo>
                              <a:lnTo>
                                <a:pt x="6501384" y="0"/>
                              </a:lnTo>
                            </a:path>
                          </a:pathLst>
                        </a:custGeom>
                        <a:ln w="9525">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3191" o:spid="_x0000_s2049" style="width:511.9pt;height:0.75pt;margin-top:716.6pt;margin-left:57.6pt;mso-position-horizontal-relative:page;mso-position-vertical-relative:page;position:absolute;z-index:251659264" coordsize="65013,95">
              <v:shape id="Shape 3192" o:spid="_x0000_s2050" style="width:65013;height:0;mso-wrap-style:square;position:absolute;visibility:visible;v-text-anchor:top" coordsize="6501384,0" path="m,l6501384,e" filled="f">
                <v:path arrowok="t" textboxrect="0,0,6501384,0"/>
              </v:shape>
              <w10:wrap type="square"/>
            </v:group>
          </w:pict>
        </mc:Fallback>
      </mc:AlternateContent>
    </w:r>
    <w:r w:rsidRPr="00054528">
      <w:rPr>
        <w:lang w:val="en-US"/>
      </w:rPr>
      <w:t xml:space="preserve"> </w:t>
    </w:r>
  </w:p>
  <w:p w:rsidR="00C10180" w:rsidRPr="00474B88" w:rsidRDefault="00467F8D">
    <w:pPr>
      <w:spacing w:after="13" w:line="259" w:lineRule="auto"/>
      <w:ind w:left="0" w:firstLine="0"/>
      <w:rPr>
        <w:lang w:val="en-US"/>
      </w:rPr>
    </w:pPr>
    <w:r w:rsidRPr="00474B88">
      <w:rPr>
        <w:lang w:val="en-US"/>
      </w:rPr>
      <w:t xml:space="preserve">For terms and definitions, consult the IRB Glossary at </w:t>
    </w:r>
    <w:r w:rsidRPr="00474B88">
      <w:rPr>
        <w:color w:val="0000FF"/>
        <w:u w:val="single" w:color="0000FF"/>
        <w:lang w:val="en-US"/>
      </w:rPr>
      <w:t>http://www.irb.</w:t>
    </w:r>
    <w:r w:rsidR="00AF346E">
      <w:rPr>
        <w:color w:val="0000FF"/>
        <w:u w:val="single" w:color="0000FF"/>
        <w:lang w:val="en-US"/>
      </w:rPr>
      <w:t>CCC-UPR</w:t>
    </w:r>
    <w:r w:rsidRPr="00474B88">
      <w:rPr>
        <w:color w:val="0000FF"/>
        <w:u w:val="single" w:color="0000FF"/>
        <w:lang w:val="en-US"/>
      </w:rPr>
      <w:t>.edu/glossary/</w:t>
    </w:r>
    <w:r w:rsidRPr="00474B88">
      <w:rPr>
        <w:color w:val="0000FF"/>
        <w:lang w:val="en-US"/>
      </w:rPr>
      <w:t xml:space="preserve"> </w:t>
    </w:r>
  </w:p>
  <w:p w:rsidR="00C10180" w:rsidRPr="00474B88" w:rsidRDefault="00467F8D">
    <w:pPr>
      <w:tabs>
        <w:tab w:val="right" w:pos="9862"/>
      </w:tabs>
      <w:spacing w:after="0" w:line="259" w:lineRule="auto"/>
      <w:ind w:left="0" w:right="-75" w:firstLine="0"/>
      <w:rPr>
        <w:lang w:val="en-US"/>
      </w:rPr>
    </w:pPr>
    <w:r w:rsidRPr="00474B88">
      <w:rPr>
        <w:color w:val="0000FF"/>
        <w:u w:val="single" w:color="0000FF"/>
        <w:lang w:val="en-US"/>
      </w:rPr>
      <w:t xml:space="preserve">For a definition of the scope of </w:t>
    </w:r>
    <w:r w:rsidR="00AF346E">
      <w:rPr>
        <w:color w:val="0000FF"/>
        <w:u w:val="single" w:color="0000FF"/>
        <w:lang w:val="en-US"/>
      </w:rPr>
      <w:t>CCC-UPR</w:t>
    </w:r>
    <w:r w:rsidRPr="00474B88">
      <w:rPr>
        <w:color w:val="0000FF"/>
        <w:u w:val="single" w:color="0000FF"/>
        <w:lang w:val="en-US"/>
      </w:rPr>
      <w:t xml:space="preserve"> IRB policies, consult the IRB Policy #1</w:t>
    </w:r>
    <w:r w:rsidRPr="00474B88">
      <w:rPr>
        <w:lang w:val="en-US"/>
      </w:rPr>
      <w:t xml:space="preserve"> </w:t>
    </w:r>
    <w:r w:rsidRPr="00474B88">
      <w:rPr>
        <w:lang w:val="en-US"/>
      </w:rPr>
      <w:tab/>
      <w:t xml:space="preserve">Page </w:t>
    </w:r>
    <w:r>
      <w:fldChar w:fldCharType="begin"/>
    </w:r>
    <w:r w:rsidRPr="00474B88">
      <w:rPr>
        <w:lang w:val="en-US"/>
      </w:rPr>
      <w:instrText xml:space="preserve"> PAGE   \* MERGEFORMAT </w:instrText>
    </w:r>
    <w:r>
      <w:fldChar w:fldCharType="separate"/>
    </w:r>
    <w:r w:rsidRPr="00474B88">
      <w:rPr>
        <w:lang w:val="en-US"/>
      </w:rPr>
      <w:t>1</w:t>
    </w:r>
    <w:r>
      <w:fldChar w:fldCharType="end"/>
    </w:r>
    <w:r w:rsidRPr="00474B88">
      <w:rPr>
        <w:sz w:val="24"/>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olor w:val="auto"/>
        <w:sz w:val="22"/>
        <w:lang w:val="en-US" w:eastAsia="en-US"/>
      </w:rPr>
      <w:id w:val="616728224"/>
      <w:docPartObj>
        <w:docPartGallery w:val="Page Numbers (Bottom of Page)"/>
        <w:docPartUnique/>
      </w:docPartObj>
    </w:sdtPr>
    <w:sdtEndPr/>
    <w:sdtContent>
      <w:sdt>
        <w:sdtPr>
          <w:rPr>
            <w:rFonts w:asciiTheme="minorHAnsi" w:eastAsiaTheme="minorEastAsia" w:hAnsiTheme="minorHAnsi"/>
            <w:color w:val="auto"/>
            <w:sz w:val="22"/>
            <w:lang w:val="en-US" w:eastAsia="en-US"/>
          </w:rPr>
          <w:id w:val="-1769616900"/>
          <w:docPartObj>
            <w:docPartGallery w:val="Page Numbers (Top of Page)"/>
            <w:docPartUnique/>
          </w:docPartObj>
        </w:sdtPr>
        <w:sdtEndPr/>
        <w:sdtContent>
          <w:p w:rsidR="005572BE" w:rsidRDefault="00467F8D" w:rsidP="005572BE">
            <w:pPr>
              <w:spacing w:after="13" w:line="259" w:lineRule="auto"/>
              <w:ind w:left="0" w:firstLine="0"/>
              <w:rPr>
                <w:sz w:val="18"/>
                <w:lang w:val="en-US"/>
              </w:rPr>
            </w:pPr>
            <w:r>
              <w:rPr>
                <w:sz w:val="18"/>
                <w:lang w:val="en-US"/>
              </w:rPr>
              <w:t>CCC</w:t>
            </w:r>
            <w:r w:rsidR="00C03347">
              <w:rPr>
                <w:sz w:val="18"/>
                <w:lang w:val="en-US"/>
              </w:rPr>
              <w:t>-UPR</w:t>
            </w:r>
            <w:r w:rsidRPr="00A06C6B">
              <w:rPr>
                <w:sz w:val="18"/>
                <w:lang w:val="en-US"/>
              </w:rPr>
              <w:t xml:space="preserve"> IRB</w:t>
            </w:r>
          </w:p>
          <w:p w:rsidR="00AF346E" w:rsidRPr="00A06C6B" w:rsidRDefault="00467F8D" w:rsidP="005572BE">
            <w:pPr>
              <w:spacing w:after="13" w:line="259" w:lineRule="auto"/>
              <w:ind w:left="0" w:firstLine="0"/>
              <w:rPr>
                <w:sz w:val="18"/>
                <w:lang w:val="en-US"/>
              </w:rPr>
            </w:pPr>
            <w:r>
              <w:rPr>
                <w:sz w:val="18"/>
                <w:lang w:val="en-US"/>
              </w:rPr>
              <w:t>Policy 2</w:t>
            </w:r>
          </w:p>
          <w:p w:rsidR="005572BE" w:rsidRDefault="00467F8D" w:rsidP="005572BE">
            <w:pPr>
              <w:spacing w:after="13" w:line="259" w:lineRule="auto"/>
              <w:ind w:left="0" w:firstLine="0"/>
              <w:rPr>
                <w:sz w:val="18"/>
                <w:lang w:val="en-US"/>
              </w:rPr>
            </w:pPr>
            <w:r>
              <w:rPr>
                <w:sz w:val="18"/>
                <w:lang w:val="en-US"/>
              </w:rPr>
              <w:t>Jan 2019</w:t>
            </w:r>
          </w:p>
          <w:p w:rsidR="005572BE" w:rsidRDefault="00467F8D" w:rsidP="005572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3D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D78">
              <w:rPr>
                <w:b/>
                <w:bCs/>
                <w:noProof/>
              </w:rPr>
              <w:t>5</w:t>
            </w:r>
            <w:r>
              <w:rPr>
                <w:b/>
                <w:bCs/>
                <w:sz w:val="24"/>
                <w:szCs w:val="24"/>
              </w:rPr>
              <w:fldChar w:fldCharType="end"/>
            </w:r>
          </w:p>
        </w:sdtContent>
      </w:sdt>
    </w:sdtContent>
  </w:sdt>
  <w:p w:rsidR="00C10180" w:rsidRPr="00474B88" w:rsidRDefault="00C10180">
    <w:pPr>
      <w:tabs>
        <w:tab w:val="right" w:pos="9862"/>
      </w:tabs>
      <w:spacing w:after="0" w:line="259" w:lineRule="auto"/>
      <w:ind w:left="0" w:right="-75" w:firstLine="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80" w:rsidRPr="00054528" w:rsidRDefault="00467F8D">
    <w:pPr>
      <w:spacing w:after="0" w:line="259" w:lineRule="auto"/>
      <w:ind w:left="0" w:firstLine="0"/>
      <w:rPr>
        <w:lang w:val="en-US"/>
      </w:rPr>
    </w:pPr>
    <w:r w:rsidRPr="00054528">
      <w:rPr>
        <w:lang w:val="en-US"/>
      </w:rPr>
      <w:t xml:space="preserve"> </w:t>
    </w:r>
  </w:p>
  <w:p w:rsidR="00C10180" w:rsidRPr="00054528" w:rsidRDefault="00467F8D">
    <w:pPr>
      <w:spacing w:after="0" w:line="259" w:lineRule="auto"/>
      <w:ind w:left="0" w:right="-377" w:firstLine="0"/>
      <w:rPr>
        <w:lang w:val="en-US"/>
      </w:rPr>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simplePos x="0" y="0"/>
              <wp:positionH relativeFrom="page">
                <wp:posOffset>731520</wp:posOffset>
              </wp:positionH>
              <wp:positionV relativeFrom="page">
                <wp:posOffset>9100566</wp:posOffset>
              </wp:positionV>
              <wp:extent cx="6501384" cy="9525"/>
              <wp:effectExtent l="0" t="0" r="0" b="0"/>
              <wp:wrapSquare wrapText="bothSides"/>
              <wp:docPr id="3143" name="Group 3143"/>
              <wp:cNvGraphicFramePr/>
              <a:graphic xmlns:a="http://schemas.openxmlformats.org/drawingml/2006/main">
                <a:graphicData uri="http://schemas.microsoft.com/office/word/2010/wordprocessingGroup">
                  <wpg:wgp>
                    <wpg:cNvGrpSpPr/>
                    <wpg:grpSpPr>
                      <a:xfrm>
                        <a:off x="0" y="0"/>
                        <a:ext cx="6501384" cy="9525"/>
                        <a:chOff x="0" y="0"/>
                        <a:chExt cx="6501384" cy="9525"/>
                      </a:xfrm>
                    </wpg:grpSpPr>
                    <wps:wsp>
                      <wps:cNvPr id="3144" name="Shape 3144"/>
                      <wps:cNvSpPr/>
                      <wps:spPr>
                        <a:xfrm>
                          <a:off x="0" y="0"/>
                          <a:ext cx="6501384" cy="0"/>
                        </a:xfrm>
                        <a:custGeom>
                          <a:avLst/>
                          <a:gdLst/>
                          <a:ahLst/>
                          <a:cxnLst/>
                          <a:rect l="0" t="0" r="0" b="0"/>
                          <a:pathLst>
                            <a:path w="6501384">
                              <a:moveTo>
                                <a:pt x="0" y="0"/>
                              </a:moveTo>
                              <a:lnTo>
                                <a:pt x="6501384" y="0"/>
                              </a:lnTo>
                            </a:path>
                          </a:pathLst>
                        </a:custGeom>
                        <a:ln w="9525">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3143" o:spid="_x0000_s2051" style="width:511.9pt;height:0.75pt;margin-top:716.6pt;margin-left:57.6pt;mso-position-horizontal-relative:page;mso-position-vertical-relative:page;position:absolute;z-index:251661312" coordsize="65013,95">
              <v:shape id="Shape 3144" o:spid="_x0000_s2052" style="width:65013;height:0;mso-wrap-style:square;position:absolute;visibility:visible;v-text-anchor:top" coordsize="6501384,0" path="m,l6501384,e" filled="f">
                <v:path arrowok="t" textboxrect="0,0,6501384,0"/>
              </v:shape>
              <w10:wrap type="square"/>
            </v:group>
          </w:pict>
        </mc:Fallback>
      </mc:AlternateContent>
    </w:r>
    <w:r w:rsidRPr="00054528">
      <w:rPr>
        <w:lang w:val="en-US"/>
      </w:rPr>
      <w:t xml:space="preserve"> </w:t>
    </w:r>
  </w:p>
  <w:p w:rsidR="00C10180" w:rsidRPr="00474B88" w:rsidRDefault="00467F8D">
    <w:pPr>
      <w:spacing w:after="13" w:line="259" w:lineRule="auto"/>
      <w:ind w:left="0" w:firstLine="0"/>
      <w:rPr>
        <w:lang w:val="en-US"/>
      </w:rPr>
    </w:pPr>
    <w:r w:rsidRPr="00474B88">
      <w:rPr>
        <w:lang w:val="en-US"/>
      </w:rPr>
      <w:t xml:space="preserve">For terms and definitions, consult the IRB Glossary at </w:t>
    </w:r>
    <w:r w:rsidRPr="00474B88">
      <w:rPr>
        <w:color w:val="0000FF"/>
        <w:u w:val="single" w:color="0000FF"/>
        <w:lang w:val="en-US"/>
      </w:rPr>
      <w:t>http://www.irb.</w:t>
    </w:r>
    <w:r w:rsidR="00AF346E">
      <w:rPr>
        <w:color w:val="0000FF"/>
        <w:u w:val="single" w:color="0000FF"/>
        <w:lang w:val="en-US"/>
      </w:rPr>
      <w:t>CCC-UPR</w:t>
    </w:r>
    <w:r w:rsidRPr="00474B88">
      <w:rPr>
        <w:color w:val="0000FF"/>
        <w:u w:val="single" w:color="0000FF"/>
        <w:lang w:val="en-US"/>
      </w:rPr>
      <w:t>.edu/glossary/</w:t>
    </w:r>
    <w:r w:rsidRPr="00474B88">
      <w:rPr>
        <w:color w:val="0000FF"/>
        <w:lang w:val="en-US"/>
      </w:rPr>
      <w:t xml:space="preserve"> </w:t>
    </w:r>
  </w:p>
  <w:p w:rsidR="00C10180" w:rsidRPr="00474B88" w:rsidRDefault="00467F8D">
    <w:pPr>
      <w:tabs>
        <w:tab w:val="right" w:pos="9862"/>
      </w:tabs>
      <w:spacing w:after="0" w:line="259" w:lineRule="auto"/>
      <w:ind w:left="0" w:right="-75" w:firstLine="0"/>
      <w:rPr>
        <w:lang w:val="en-US"/>
      </w:rPr>
    </w:pPr>
    <w:r w:rsidRPr="00474B88">
      <w:rPr>
        <w:color w:val="0000FF"/>
        <w:u w:val="single" w:color="0000FF"/>
        <w:lang w:val="en-US"/>
      </w:rPr>
      <w:t xml:space="preserve">For a definition of scope of </w:t>
    </w:r>
    <w:r w:rsidR="00AF346E">
      <w:rPr>
        <w:color w:val="0000FF"/>
        <w:u w:val="single" w:color="0000FF"/>
        <w:lang w:val="en-US"/>
      </w:rPr>
      <w:t>CCC-UPR</w:t>
    </w:r>
    <w:r w:rsidRPr="00474B88">
      <w:rPr>
        <w:color w:val="0000FF"/>
        <w:u w:val="single" w:color="0000FF"/>
        <w:lang w:val="en-US"/>
      </w:rPr>
      <w:t xml:space="preserve"> IRB policies, consult the IRB Policy #1</w:t>
    </w:r>
    <w:r w:rsidRPr="00474B88">
      <w:rPr>
        <w:lang w:val="en-US"/>
      </w:rPr>
      <w:t xml:space="preserve"> </w:t>
    </w:r>
    <w:r w:rsidRPr="00474B88">
      <w:rPr>
        <w:lang w:val="en-US"/>
      </w:rPr>
      <w:tab/>
      <w:t xml:space="preserve">Page </w:t>
    </w:r>
    <w:r>
      <w:fldChar w:fldCharType="begin"/>
    </w:r>
    <w:r w:rsidRPr="00474B88">
      <w:rPr>
        <w:lang w:val="en-US"/>
      </w:rPr>
      <w:instrText xml:space="preserve"> PAGE   \* MERGEFORMAT </w:instrText>
    </w:r>
    <w:r>
      <w:fldChar w:fldCharType="separate"/>
    </w:r>
    <w:r w:rsidRPr="00474B88">
      <w:rPr>
        <w:lang w:val="en-US"/>
      </w:rPr>
      <w:t>1</w:t>
    </w:r>
    <w:r>
      <w:fldChar w:fldCharType="end"/>
    </w:r>
    <w:r w:rsidRPr="00474B88">
      <w:rPr>
        <w:sz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4D" w:rsidRDefault="008A6E4D">
      <w:pPr>
        <w:spacing w:after="0" w:line="240" w:lineRule="auto"/>
      </w:pPr>
      <w:r>
        <w:separator/>
      </w:r>
    </w:p>
  </w:footnote>
  <w:footnote w:type="continuationSeparator" w:id="0">
    <w:p w:rsidR="008A6E4D" w:rsidRDefault="008A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7FA"/>
    <w:multiLevelType w:val="hybridMultilevel"/>
    <w:tmpl w:val="998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028A7"/>
    <w:multiLevelType w:val="hybridMultilevel"/>
    <w:tmpl w:val="87C29C38"/>
    <w:lvl w:ilvl="0" w:tplc="942E32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82E8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E6B2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CCB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F0EA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82A0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74F4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03F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B659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E55890"/>
    <w:multiLevelType w:val="hybridMultilevel"/>
    <w:tmpl w:val="A1A0FC7A"/>
    <w:lvl w:ilvl="0" w:tplc="96688D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8610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16EE4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4EB6A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2870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8C0F1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4C307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8CAC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3A806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64433C"/>
    <w:multiLevelType w:val="hybridMultilevel"/>
    <w:tmpl w:val="34D649FA"/>
    <w:lvl w:ilvl="0" w:tplc="D34CA8EE">
      <w:start w:val="1"/>
      <w:numFmt w:val="decimal"/>
      <w:lvlText w:val="%1."/>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1E5360">
      <w:start w:val="1"/>
      <w:numFmt w:val="lowerRoman"/>
      <w:lvlText w:val="%2."/>
      <w:lvlJc w:val="left"/>
      <w:pPr>
        <w:ind w:left="19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C4CA698">
      <w:start w:val="1"/>
      <w:numFmt w:val="lowerLetter"/>
      <w:lvlText w:val="%3."/>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FA4376">
      <w:start w:val="1"/>
      <w:numFmt w:val="decimal"/>
      <w:lvlText w:val="%4"/>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84FBC2">
      <w:start w:val="1"/>
      <w:numFmt w:val="lowerLetter"/>
      <w:lvlText w:val="%5"/>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1823C8">
      <w:start w:val="1"/>
      <w:numFmt w:val="lowerRoman"/>
      <w:lvlText w:val="%6"/>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181886">
      <w:start w:val="1"/>
      <w:numFmt w:val="decimal"/>
      <w:lvlText w:val="%7"/>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305D10">
      <w:start w:val="1"/>
      <w:numFmt w:val="lowerLetter"/>
      <w:lvlText w:val="%8"/>
      <w:lvlJc w:val="left"/>
      <w:pPr>
        <w:ind w:left="6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CE13AA">
      <w:start w:val="1"/>
      <w:numFmt w:val="lowerRoman"/>
      <w:lvlText w:val="%9"/>
      <w:lvlJc w:val="left"/>
      <w:pPr>
        <w:ind w:left="7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611678"/>
    <w:multiLevelType w:val="hybridMultilevel"/>
    <w:tmpl w:val="65E69578"/>
    <w:lvl w:ilvl="0" w:tplc="D320F992">
      <w:start w:val="1"/>
      <w:numFmt w:val="bullet"/>
      <w:lvlText w:val="-"/>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CBA1BBE">
      <w:start w:val="1"/>
      <w:numFmt w:val="bullet"/>
      <w:lvlText w:val="o"/>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51C7346">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BDED34E">
      <w:start w:val="1"/>
      <w:numFmt w:val="bullet"/>
      <w:lvlText w:val="•"/>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9AF06E">
      <w:start w:val="1"/>
      <w:numFmt w:val="bullet"/>
      <w:lvlText w:val="o"/>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1B265FA">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6A820E2">
      <w:start w:val="1"/>
      <w:numFmt w:val="bullet"/>
      <w:lvlText w:val="•"/>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A7AF3DC">
      <w:start w:val="1"/>
      <w:numFmt w:val="bullet"/>
      <w:lvlText w:val="o"/>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6E603EA">
      <w:start w:val="1"/>
      <w:numFmt w:val="bullet"/>
      <w:lvlText w:val="▪"/>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Q3MjA2NTc3NTVR0lEKTi0uzszPAykwqQUAOsfOQywAAAA="/>
  </w:docVars>
  <w:rsids>
    <w:rsidRoot w:val="00C10180"/>
    <w:rsid w:val="00054528"/>
    <w:rsid w:val="0011583B"/>
    <w:rsid w:val="0014600A"/>
    <w:rsid w:val="00263D82"/>
    <w:rsid w:val="00267D3A"/>
    <w:rsid w:val="00284006"/>
    <w:rsid w:val="002942D8"/>
    <w:rsid w:val="00385279"/>
    <w:rsid w:val="003C3D78"/>
    <w:rsid w:val="00421CA6"/>
    <w:rsid w:val="00467F8D"/>
    <w:rsid w:val="00474B88"/>
    <w:rsid w:val="00556688"/>
    <w:rsid w:val="005572BE"/>
    <w:rsid w:val="0055738C"/>
    <w:rsid w:val="005A6DBC"/>
    <w:rsid w:val="0060632B"/>
    <w:rsid w:val="00671A5A"/>
    <w:rsid w:val="006B2851"/>
    <w:rsid w:val="00732DDF"/>
    <w:rsid w:val="0073408E"/>
    <w:rsid w:val="007459BE"/>
    <w:rsid w:val="007D5D69"/>
    <w:rsid w:val="008A6614"/>
    <w:rsid w:val="008A6E4D"/>
    <w:rsid w:val="008D261D"/>
    <w:rsid w:val="0097643C"/>
    <w:rsid w:val="00992970"/>
    <w:rsid w:val="00A06C6B"/>
    <w:rsid w:val="00A501E0"/>
    <w:rsid w:val="00A54A0F"/>
    <w:rsid w:val="00AC3315"/>
    <w:rsid w:val="00AC4191"/>
    <w:rsid w:val="00AF346E"/>
    <w:rsid w:val="00C03347"/>
    <w:rsid w:val="00C10180"/>
    <w:rsid w:val="00C85EB3"/>
    <w:rsid w:val="00D57D64"/>
    <w:rsid w:val="00DF5847"/>
    <w:rsid w:val="00E43E3B"/>
    <w:rsid w:val="00EE3C2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3A45"/>
  <w15:docId w15:val="{DF3CB193-49AE-4997-8C4B-7B96F14D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9" w:lineRule="auto"/>
      <w:ind w:left="37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84" w:hanging="10"/>
      <w:jc w:val="center"/>
      <w:outlineLvl w:val="0"/>
    </w:pPr>
    <w:rPr>
      <w:rFonts w:ascii="Times New Roman" w:eastAsia="Times New Roman" w:hAnsi="Times New Roman" w:cs="Times New Roman"/>
      <w:color w:val="000000"/>
      <w:sz w:val="16"/>
      <w:u w:val="single" w:color="000000"/>
    </w:rPr>
  </w:style>
  <w:style w:type="paragraph" w:styleId="Heading2">
    <w:name w:val="heading 2"/>
    <w:next w:val="Normal"/>
    <w:link w:val="Heading2Char"/>
    <w:uiPriority w:val="9"/>
    <w:unhideWhenUsed/>
    <w:qFormat/>
    <w:pPr>
      <w:keepNext/>
      <w:keepLines/>
      <w:spacing w:after="95"/>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95"/>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u w:val="single" w:color="00000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styleId="CommentReference">
    <w:name w:val="annotation reference"/>
    <w:basedOn w:val="DefaultParagraphFont"/>
    <w:uiPriority w:val="99"/>
    <w:semiHidden/>
    <w:unhideWhenUsed/>
    <w:rsid w:val="00474B88"/>
    <w:rPr>
      <w:sz w:val="16"/>
      <w:szCs w:val="16"/>
    </w:rPr>
  </w:style>
  <w:style w:type="paragraph" w:styleId="CommentText">
    <w:name w:val="annotation text"/>
    <w:basedOn w:val="Normal"/>
    <w:link w:val="CommentTextChar"/>
    <w:uiPriority w:val="99"/>
    <w:semiHidden/>
    <w:unhideWhenUsed/>
    <w:rsid w:val="00474B88"/>
    <w:pPr>
      <w:spacing w:line="240" w:lineRule="auto"/>
    </w:pPr>
    <w:rPr>
      <w:szCs w:val="20"/>
    </w:rPr>
  </w:style>
  <w:style w:type="character" w:customStyle="1" w:styleId="CommentTextChar">
    <w:name w:val="Comment Text Char"/>
    <w:basedOn w:val="DefaultParagraphFont"/>
    <w:link w:val="CommentText"/>
    <w:uiPriority w:val="99"/>
    <w:semiHidden/>
    <w:rsid w:val="00474B8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74B88"/>
    <w:rPr>
      <w:b/>
      <w:bCs/>
    </w:rPr>
  </w:style>
  <w:style w:type="character" w:customStyle="1" w:styleId="CommentSubjectChar">
    <w:name w:val="Comment Subject Char"/>
    <w:basedOn w:val="CommentTextChar"/>
    <w:link w:val="CommentSubject"/>
    <w:uiPriority w:val="99"/>
    <w:semiHidden/>
    <w:rsid w:val="00474B8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7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B88"/>
    <w:rPr>
      <w:rFonts w:ascii="Segoe UI" w:eastAsia="Times New Roman" w:hAnsi="Segoe UI" w:cs="Segoe UI"/>
      <w:color w:val="000000"/>
      <w:sz w:val="18"/>
      <w:szCs w:val="18"/>
    </w:rPr>
  </w:style>
  <w:style w:type="paragraph" w:styleId="Header">
    <w:name w:val="header"/>
    <w:basedOn w:val="Normal"/>
    <w:link w:val="HeaderChar"/>
    <w:uiPriority w:val="99"/>
    <w:unhideWhenUsed/>
    <w:rsid w:val="00745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9BE"/>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A06C6B"/>
    <w:rPr>
      <w:color w:val="0563C1" w:themeColor="hyperlink"/>
      <w:u w:val="single"/>
    </w:rPr>
  </w:style>
  <w:style w:type="paragraph" w:styleId="Footer">
    <w:name w:val="footer"/>
    <w:basedOn w:val="Normal"/>
    <w:link w:val="FooterChar"/>
    <w:uiPriority w:val="99"/>
    <w:unhideWhenUsed/>
    <w:rsid w:val="005572BE"/>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572BE"/>
    <w:rPr>
      <w:rFonts w:cs="Times New Roman"/>
      <w:lang w:val="en-US" w:eastAsia="en-US"/>
    </w:rPr>
  </w:style>
  <w:style w:type="table" w:customStyle="1" w:styleId="TableGrid1">
    <w:name w:val="Table Grid1"/>
    <w:basedOn w:val="TableNormal"/>
    <w:next w:val="TableGrid"/>
    <w:uiPriority w:val="39"/>
    <w:rsid w:val="00D57D6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rb@cccup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hs.gov/ohrp/regulations-and-policy/decision-charts/index.html#c2" TargetMode="Externa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IRB Policy #2 Final - Updated 7.28.15</vt:lpstr>
    </vt:vector>
  </TitlesOfParts>
  <Company>Microsoft</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IRB Policy #2 Final - Updated 7.28.15</dc:title>
  <dc:creator>gds64</dc:creator>
  <cp:lastModifiedBy>Wanda Figueroa</cp:lastModifiedBy>
  <cp:revision>3</cp:revision>
  <dcterms:created xsi:type="dcterms:W3CDTF">2019-02-20T20:51:00Z</dcterms:created>
  <dcterms:modified xsi:type="dcterms:W3CDTF">2019-02-20T21:00:00Z</dcterms:modified>
</cp:coreProperties>
</file>