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0F5B0" w14:textId="77777777" w:rsidR="005C208D" w:rsidRDefault="005C208D">
      <w:pPr>
        <w:spacing w:after="0" w:line="259" w:lineRule="auto"/>
        <w:jc w:val="center"/>
        <w:rPr>
          <w:lang w:val="en-US"/>
        </w:rPr>
      </w:pPr>
    </w:p>
    <w:p w14:paraId="3C5160F4" w14:textId="45DC1259" w:rsidR="007E24C5" w:rsidRPr="007E24C5" w:rsidRDefault="00674466" w:rsidP="00674466">
      <w:pPr>
        <w:spacing w:after="0" w:line="259" w:lineRule="auto"/>
        <w:jc w:val="center"/>
        <w:rPr>
          <w:lang w:val="en-US"/>
        </w:rPr>
      </w:pPr>
      <w:r>
        <w:rPr>
          <w:noProof/>
          <w:lang w:val="en-US" w:eastAsia="en-US"/>
        </w:rPr>
        <w:drawing>
          <wp:inline distT="0" distB="0" distL="0" distR="0" wp14:anchorId="4CFBB940" wp14:editId="6FFE9E5E">
            <wp:extent cx="5840730" cy="883920"/>
            <wp:effectExtent l="0" t="0" r="762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p>
    <w:p w14:paraId="2512CCE2" w14:textId="77777777" w:rsidR="00345FAF" w:rsidRPr="00806D24" w:rsidRDefault="004922D7">
      <w:pPr>
        <w:spacing w:after="11" w:line="259" w:lineRule="auto"/>
        <w:ind w:left="130" w:firstLine="0"/>
        <w:jc w:val="center"/>
        <w:rPr>
          <w:lang w:val="en-US"/>
        </w:rPr>
      </w:pPr>
      <w:r w:rsidRPr="00806D24">
        <w:rPr>
          <w:lang w:val="en-US"/>
        </w:rPr>
        <w:t xml:space="preserve">  </w:t>
      </w:r>
    </w:p>
    <w:p w14:paraId="5D4AAE40" w14:textId="77777777" w:rsidR="00345FAF" w:rsidRPr="00681B7D" w:rsidRDefault="004922D7">
      <w:pPr>
        <w:spacing w:after="0" w:line="259" w:lineRule="auto"/>
        <w:ind w:left="8" w:firstLine="0"/>
        <w:jc w:val="center"/>
        <w:rPr>
          <w:b/>
          <w:lang w:val="en-US"/>
        </w:rPr>
      </w:pPr>
      <w:r w:rsidRPr="00681B7D">
        <w:rPr>
          <w:b/>
          <w:u w:val="single" w:color="000000"/>
          <w:lang w:val="en-US"/>
        </w:rPr>
        <w:t>SOP 5:</w:t>
      </w:r>
      <w:r w:rsidRPr="00681B7D">
        <w:rPr>
          <w:b/>
          <w:sz w:val="19"/>
          <w:u w:val="single" w:color="000000"/>
          <w:lang w:val="en-US"/>
        </w:rPr>
        <w:t xml:space="preserve"> </w:t>
      </w:r>
      <w:r w:rsidRPr="00681B7D">
        <w:rPr>
          <w:b/>
          <w:u w:val="single" w:color="000000"/>
          <w:lang w:val="en-US"/>
        </w:rPr>
        <w:t>M</w:t>
      </w:r>
      <w:r w:rsidRPr="00681B7D">
        <w:rPr>
          <w:b/>
          <w:sz w:val="19"/>
          <w:u w:val="single" w:color="000000"/>
          <w:lang w:val="en-US"/>
        </w:rPr>
        <w:t xml:space="preserve">ANAGING </w:t>
      </w:r>
      <w:r w:rsidRPr="00681B7D">
        <w:rPr>
          <w:b/>
          <w:u w:val="single" w:color="000000"/>
          <w:lang w:val="en-US"/>
        </w:rPr>
        <w:t>N</w:t>
      </w:r>
      <w:r w:rsidRPr="00681B7D">
        <w:rPr>
          <w:b/>
          <w:sz w:val="19"/>
          <w:u w:val="single" w:color="000000"/>
          <w:lang w:val="en-US"/>
        </w:rPr>
        <w:t xml:space="preserve">ONCOMPLIANCE IN </w:t>
      </w:r>
      <w:r w:rsidRPr="00681B7D">
        <w:rPr>
          <w:b/>
          <w:u w:val="single" w:color="000000"/>
          <w:lang w:val="en-US"/>
        </w:rPr>
        <w:t>H</w:t>
      </w:r>
      <w:r w:rsidRPr="00681B7D">
        <w:rPr>
          <w:b/>
          <w:sz w:val="19"/>
          <w:u w:val="single" w:color="000000"/>
          <w:lang w:val="en-US"/>
        </w:rPr>
        <w:t xml:space="preserve">UMAN </w:t>
      </w:r>
      <w:r w:rsidRPr="00681B7D">
        <w:rPr>
          <w:b/>
          <w:u w:val="single" w:color="000000"/>
          <w:lang w:val="en-US"/>
        </w:rPr>
        <w:t>R</w:t>
      </w:r>
      <w:r w:rsidRPr="00681B7D">
        <w:rPr>
          <w:b/>
          <w:sz w:val="19"/>
          <w:u w:val="single" w:color="000000"/>
          <w:lang w:val="en-US"/>
        </w:rPr>
        <w:t xml:space="preserve">ESEARCH </w:t>
      </w:r>
      <w:r w:rsidRPr="00681B7D">
        <w:rPr>
          <w:b/>
          <w:u w:val="single" w:color="000000"/>
          <w:lang w:val="en-US"/>
        </w:rPr>
        <w:t>P</w:t>
      </w:r>
      <w:r w:rsidRPr="00681B7D">
        <w:rPr>
          <w:b/>
          <w:sz w:val="19"/>
          <w:u w:val="single" w:color="000000"/>
          <w:lang w:val="en-US"/>
        </w:rPr>
        <w:t xml:space="preserve">ROTECTION </w:t>
      </w:r>
      <w:r w:rsidRPr="00681B7D">
        <w:rPr>
          <w:b/>
          <w:u w:val="single" w:color="000000"/>
          <w:lang w:val="en-US"/>
        </w:rPr>
        <w:t>P</w:t>
      </w:r>
      <w:r w:rsidRPr="00681B7D">
        <w:rPr>
          <w:b/>
          <w:sz w:val="19"/>
          <w:u w:val="single" w:color="000000"/>
          <w:lang w:val="en-US"/>
        </w:rPr>
        <w:t>ROGRAM</w:t>
      </w:r>
      <w:r w:rsidRPr="00681B7D">
        <w:rPr>
          <w:b/>
          <w:lang w:val="en-US"/>
        </w:rPr>
        <w:t xml:space="preserve"> </w:t>
      </w:r>
    </w:p>
    <w:p w14:paraId="150BB747" w14:textId="77777777" w:rsidR="00345FAF" w:rsidRPr="00681B7D" w:rsidRDefault="004922D7">
      <w:pPr>
        <w:spacing w:after="0" w:line="259" w:lineRule="auto"/>
        <w:ind w:left="0" w:firstLine="0"/>
        <w:rPr>
          <w:b/>
          <w:lang w:val="en-US"/>
        </w:rPr>
      </w:pPr>
      <w:r w:rsidRPr="00681B7D">
        <w:rPr>
          <w:b/>
          <w:lang w:val="en-US"/>
        </w:rPr>
        <w:t xml:space="preserve"> </w:t>
      </w:r>
    </w:p>
    <w:p w14:paraId="7D82D317" w14:textId="77777777" w:rsidR="00345FAF" w:rsidRDefault="004922D7">
      <w:pPr>
        <w:pStyle w:val="Heading1"/>
        <w:spacing w:after="252"/>
        <w:ind w:left="345" w:hanging="360"/>
      </w:pPr>
      <w:proofErr w:type="spellStart"/>
      <w:r>
        <w:t>Subject</w:t>
      </w:r>
      <w:proofErr w:type="spellEnd"/>
      <w:r>
        <w:t xml:space="preserve"> of </w:t>
      </w:r>
      <w:proofErr w:type="spellStart"/>
      <w:r>
        <w:t>Policy</w:t>
      </w:r>
      <w:proofErr w:type="spellEnd"/>
      <w:r>
        <w:t xml:space="preserve"> &amp; </w:t>
      </w:r>
      <w:proofErr w:type="spellStart"/>
      <w:r>
        <w:t>Procedure</w:t>
      </w:r>
      <w:proofErr w:type="spellEnd"/>
      <w:r>
        <w:t xml:space="preserve"> </w:t>
      </w:r>
    </w:p>
    <w:p w14:paraId="1EE91151" w14:textId="27B1D43C" w:rsidR="00345FAF" w:rsidRPr="00806D24" w:rsidRDefault="004922D7">
      <w:pPr>
        <w:spacing w:after="268"/>
        <w:ind w:left="715"/>
        <w:rPr>
          <w:lang w:val="en-US"/>
        </w:rPr>
      </w:pPr>
      <w:r w:rsidRPr="00806D24">
        <w:rPr>
          <w:lang w:val="en-US"/>
        </w:rPr>
        <w:t xml:space="preserve">Noncompliance occurs when research involving human participants </w:t>
      </w:r>
      <w:proofErr w:type="gramStart"/>
      <w:r w:rsidRPr="00806D24">
        <w:rPr>
          <w:lang w:val="en-US"/>
        </w:rPr>
        <w:t>is conducted</w:t>
      </w:r>
      <w:proofErr w:type="gramEnd"/>
      <w:r w:rsidRPr="00806D24">
        <w:rPr>
          <w:lang w:val="en-US"/>
        </w:rPr>
        <w:t xml:space="preserve"> in a manner that disregards or violates federal regulations, the policies or procedures of the Institutional Review Board (IRB), or institutional policies governing human research. Noncompliance with respect to human research participant protection violates </w:t>
      </w:r>
      <w:r w:rsidR="00674466">
        <w:rPr>
          <w:lang w:val="en-US"/>
        </w:rPr>
        <w:t>CCC-UPR</w:t>
      </w:r>
      <w:r w:rsidRPr="007E24C5">
        <w:rPr>
          <w:lang w:val="en-US"/>
        </w:rPr>
        <w:t>’s</w:t>
      </w:r>
      <w:r w:rsidRPr="00806D24">
        <w:rPr>
          <w:lang w:val="en-US"/>
        </w:rPr>
        <w:t xml:space="preserve"> </w:t>
      </w:r>
      <w:hyperlink r:id="rId8">
        <w:proofErr w:type="spellStart"/>
        <w:r w:rsidRPr="002E34D9">
          <w:rPr>
            <w:color w:val="0000FF"/>
            <w:lang w:val="en-US"/>
          </w:rPr>
          <w:t>Federalwide</w:t>
        </w:r>
        <w:proofErr w:type="spellEnd"/>
      </w:hyperlink>
      <w:hyperlink r:id="rId9">
        <w:r w:rsidRPr="002E34D9">
          <w:rPr>
            <w:color w:val="0000FF"/>
            <w:lang w:val="en-US"/>
          </w:rPr>
          <w:t xml:space="preserve"> </w:t>
        </w:r>
      </w:hyperlink>
      <w:hyperlink r:id="rId10">
        <w:r w:rsidRPr="002E34D9">
          <w:rPr>
            <w:color w:val="0000FF"/>
            <w:lang w:val="en-US"/>
          </w:rPr>
          <w:t>Assurance</w:t>
        </w:r>
      </w:hyperlink>
      <w:hyperlink r:id="rId11">
        <w:r w:rsidRPr="002E34D9">
          <w:rPr>
            <w:color w:val="0000FF"/>
            <w:lang w:val="en-US"/>
          </w:rPr>
          <w:t xml:space="preserve"> </w:t>
        </w:r>
      </w:hyperlink>
      <w:hyperlink r:id="rId12">
        <w:r w:rsidRPr="002E34D9">
          <w:rPr>
            <w:color w:val="0000FF"/>
            <w:lang w:val="en-US"/>
          </w:rPr>
          <w:t>Registration</w:t>
        </w:r>
      </w:hyperlink>
      <w:hyperlink r:id="rId13">
        <w:r w:rsidRPr="002E34D9">
          <w:rPr>
            <w:lang w:val="en-US"/>
          </w:rPr>
          <w:t xml:space="preserve"> </w:t>
        </w:r>
      </w:hyperlink>
      <w:r w:rsidRPr="00806D24">
        <w:rPr>
          <w:lang w:val="en-US"/>
        </w:rPr>
        <w:t xml:space="preserve">(FWA). Even in the absence of intent, an unapproved or otherwise noncompliant research activity may place a research participant at unnecessary risk.      </w:t>
      </w:r>
    </w:p>
    <w:p w14:paraId="6E4A22EB" w14:textId="77777777" w:rsidR="00345FAF" w:rsidRPr="00806D24" w:rsidRDefault="004922D7">
      <w:pPr>
        <w:ind w:left="715"/>
        <w:rPr>
          <w:lang w:val="en-US"/>
        </w:rPr>
      </w:pPr>
      <w:r w:rsidRPr="00806D24">
        <w:rPr>
          <w:lang w:val="en-US"/>
        </w:rPr>
        <w:t xml:space="preserve">This policy sets forth the definition and examples of noncompliance; the procedures for reporting an allegation of noncompliance to the IRB; and the procedures for the IRB’s management of such allegations, and if appropriate, of confirmed noncompliance.    </w:t>
      </w:r>
    </w:p>
    <w:p w14:paraId="2D2A910D" w14:textId="77777777" w:rsidR="00345FAF" w:rsidRPr="00806D24" w:rsidRDefault="004922D7">
      <w:pPr>
        <w:spacing w:after="0" w:line="259" w:lineRule="auto"/>
        <w:ind w:left="720" w:firstLine="0"/>
        <w:rPr>
          <w:lang w:val="en-US"/>
        </w:rPr>
      </w:pPr>
      <w:r w:rsidRPr="00806D24">
        <w:rPr>
          <w:lang w:val="en-US"/>
        </w:rPr>
        <w:t xml:space="preserve"> </w:t>
      </w:r>
    </w:p>
    <w:p w14:paraId="550B66FA" w14:textId="77777777" w:rsidR="00345FAF" w:rsidRDefault="004922D7">
      <w:pPr>
        <w:pStyle w:val="Heading1"/>
        <w:ind w:left="345" w:hanging="360"/>
      </w:pPr>
      <w:proofErr w:type="spellStart"/>
      <w:r>
        <w:t>Scope</w:t>
      </w:r>
      <w:proofErr w:type="spellEnd"/>
      <w:r>
        <w:t xml:space="preserve"> of </w:t>
      </w:r>
      <w:proofErr w:type="spellStart"/>
      <w:r>
        <w:t>Policy</w:t>
      </w:r>
      <w:proofErr w:type="spellEnd"/>
      <w:r>
        <w:t xml:space="preserve"> &amp; </w:t>
      </w:r>
      <w:proofErr w:type="spellStart"/>
      <w:r>
        <w:t>Procedure</w:t>
      </w:r>
      <w:proofErr w:type="spellEnd"/>
      <w:r>
        <w:t xml:space="preserve"> </w:t>
      </w:r>
    </w:p>
    <w:p w14:paraId="317A7B0F" w14:textId="77777777" w:rsidR="00345FAF" w:rsidRDefault="004922D7">
      <w:pPr>
        <w:spacing w:after="0" w:line="259" w:lineRule="auto"/>
        <w:ind w:left="0" w:firstLine="0"/>
      </w:pPr>
      <w:r>
        <w:rPr>
          <w:b/>
        </w:rPr>
        <w:t xml:space="preserve"> </w:t>
      </w:r>
    </w:p>
    <w:p w14:paraId="42CFBA0D" w14:textId="7592A63C" w:rsidR="00345FAF" w:rsidRPr="00806D24" w:rsidRDefault="004922D7">
      <w:pPr>
        <w:ind w:left="715"/>
        <w:rPr>
          <w:lang w:val="en-US"/>
        </w:rPr>
      </w:pPr>
      <w:r w:rsidRPr="00806D24">
        <w:rPr>
          <w:lang w:val="en-US"/>
        </w:rPr>
        <w:t xml:space="preserve">This Policy &amp; Procedure applies to all on-going and future human participant research projects conducted by </w:t>
      </w:r>
      <w:r w:rsidR="00674466">
        <w:rPr>
          <w:lang w:val="en-US"/>
        </w:rPr>
        <w:t>CCC-UPR</w:t>
      </w:r>
      <w:r w:rsidRPr="00806D24">
        <w:rPr>
          <w:lang w:val="en-US"/>
        </w:rPr>
        <w:t xml:space="preserve"> faculty, </w:t>
      </w:r>
      <w:r w:rsidR="005D36F3" w:rsidRPr="005D36F3">
        <w:rPr>
          <w:lang w:val="en-US"/>
        </w:rPr>
        <w:t xml:space="preserve">or </w:t>
      </w:r>
      <w:r w:rsidRPr="005D36F3">
        <w:rPr>
          <w:lang w:val="en-US"/>
        </w:rPr>
        <w:t xml:space="preserve">staff, </w:t>
      </w:r>
      <w:r w:rsidRPr="00806D24">
        <w:rPr>
          <w:lang w:val="en-US"/>
        </w:rPr>
        <w:t xml:space="preserve">or by anyone conducting a research activity supported by </w:t>
      </w:r>
      <w:r w:rsidR="00674466">
        <w:rPr>
          <w:lang w:val="en-US"/>
        </w:rPr>
        <w:t>CCC-UPR</w:t>
      </w:r>
      <w:r w:rsidRPr="00806D24">
        <w:rPr>
          <w:lang w:val="en-US"/>
        </w:rPr>
        <w:t xml:space="preserve"> or where </w:t>
      </w:r>
      <w:r w:rsidR="00674466">
        <w:rPr>
          <w:lang w:val="en-US"/>
        </w:rPr>
        <w:t>CCC-UPR</w:t>
      </w:r>
      <w:r w:rsidRPr="00806D24">
        <w:rPr>
          <w:lang w:val="en-US"/>
        </w:rPr>
        <w:t xml:space="preserve"> </w:t>
      </w:r>
      <w:proofErr w:type="gramStart"/>
      <w:r w:rsidRPr="00806D24">
        <w:rPr>
          <w:lang w:val="en-US"/>
        </w:rPr>
        <w:t>is considered to be engaged</w:t>
      </w:r>
      <w:proofErr w:type="gramEnd"/>
      <w:r w:rsidRPr="00806D24">
        <w:rPr>
          <w:lang w:val="en-US"/>
        </w:rPr>
        <w:t xml:space="preserve"> in the research. </w:t>
      </w:r>
    </w:p>
    <w:p w14:paraId="36216921" w14:textId="77777777" w:rsidR="00345FAF" w:rsidRPr="00806D24" w:rsidRDefault="004922D7">
      <w:pPr>
        <w:spacing w:after="0" w:line="259" w:lineRule="auto"/>
        <w:ind w:left="720" w:firstLine="0"/>
        <w:rPr>
          <w:lang w:val="en-US"/>
        </w:rPr>
      </w:pPr>
      <w:r w:rsidRPr="00806D24">
        <w:rPr>
          <w:lang w:val="en-US"/>
        </w:rPr>
        <w:t xml:space="preserve"> </w:t>
      </w:r>
    </w:p>
    <w:p w14:paraId="3ACAD9C0" w14:textId="77777777" w:rsidR="00345FAF" w:rsidRDefault="004922D7">
      <w:pPr>
        <w:pStyle w:val="Heading1"/>
        <w:spacing w:after="252"/>
        <w:ind w:left="345" w:hanging="360"/>
      </w:pPr>
      <w:proofErr w:type="spellStart"/>
      <w:r>
        <w:t>Terms</w:t>
      </w:r>
      <w:proofErr w:type="spellEnd"/>
      <w:r>
        <w:t xml:space="preserve"> and </w:t>
      </w:r>
      <w:proofErr w:type="spellStart"/>
      <w:r>
        <w:t>Definitions</w:t>
      </w:r>
      <w:proofErr w:type="spellEnd"/>
      <w:r>
        <w:t xml:space="preserve"> </w:t>
      </w:r>
    </w:p>
    <w:p w14:paraId="13106E86" w14:textId="77777777" w:rsidR="00345FAF" w:rsidRPr="00806D24" w:rsidRDefault="004922D7">
      <w:pPr>
        <w:spacing w:after="268"/>
        <w:ind w:left="715"/>
        <w:rPr>
          <w:lang w:val="en-US"/>
        </w:rPr>
      </w:pPr>
      <w:r w:rsidRPr="00806D24">
        <w:rPr>
          <w:u w:val="single" w:color="000000"/>
          <w:lang w:val="en-US"/>
        </w:rPr>
        <w:t>Allegation</w:t>
      </w:r>
      <w:r w:rsidRPr="00806D24">
        <w:rPr>
          <w:lang w:val="en-US"/>
        </w:rPr>
        <w:t xml:space="preserve">: An assertion made by a </w:t>
      </w:r>
      <w:proofErr w:type="gramStart"/>
      <w:r w:rsidRPr="00806D24">
        <w:rPr>
          <w:lang w:val="en-US"/>
        </w:rPr>
        <w:t>party which has not</w:t>
      </w:r>
      <w:proofErr w:type="gramEnd"/>
      <w:r w:rsidRPr="00806D24">
        <w:rPr>
          <w:lang w:val="en-US"/>
        </w:rPr>
        <w:t xml:space="preserve"> yet been proven or supported by evidence. </w:t>
      </w:r>
    </w:p>
    <w:p w14:paraId="786CC100" w14:textId="77777777" w:rsidR="00345FAF" w:rsidRPr="00806D24" w:rsidRDefault="004922D7">
      <w:pPr>
        <w:spacing w:after="270"/>
        <w:ind w:left="715"/>
        <w:rPr>
          <w:lang w:val="en-US"/>
        </w:rPr>
      </w:pPr>
      <w:r w:rsidRPr="00806D24">
        <w:rPr>
          <w:u w:val="single" w:color="000000"/>
          <w:lang w:val="en-US"/>
        </w:rPr>
        <w:t>Confirmed Noncompliance</w:t>
      </w:r>
      <w:r w:rsidRPr="00806D24">
        <w:rPr>
          <w:lang w:val="en-US"/>
        </w:rPr>
        <w:t xml:space="preserve">: An allegation of noncompliance that has been verified </w:t>
      </w:r>
      <w:proofErr w:type="gramStart"/>
      <w:r w:rsidRPr="00806D24">
        <w:rPr>
          <w:lang w:val="en-US"/>
        </w:rPr>
        <w:t>as a result</w:t>
      </w:r>
      <w:proofErr w:type="gramEnd"/>
      <w:r w:rsidRPr="00806D24">
        <w:rPr>
          <w:lang w:val="en-US"/>
        </w:rPr>
        <w:t xml:space="preserve"> of an investigation and/or a for-cause audit.   </w:t>
      </w:r>
    </w:p>
    <w:p w14:paraId="7F351149" w14:textId="77777777" w:rsidR="00345FAF" w:rsidRPr="00806D24" w:rsidRDefault="004922D7">
      <w:pPr>
        <w:spacing w:after="270"/>
        <w:ind w:left="715"/>
        <w:rPr>
          <w:lang w:val="en-US"/>
        </w:rPr>
      </w:pPr>
      <w:r w:rsidRPr="00806D24">
        <w:rPr>
          <w:u w:val="single" w:color="000000"/>
          <w:lang w:val="en-US"/>
        </w:rPr>
        <w:t>Continuing Noncompliance</w:t>
      </w:r>
      <w:r w:rsidRPr="00806D24">
        <w:rPr>
          <w:lang w:val="en-US"/>
        </w:rPr>
        <w:t xml:space="preserve">: A repeated pattern or un-rectified instance of noncompliance by an individual investigator or research staff member </w:t>
      </w:r>
      <w:proofErr w:type="gramStart"/>
      <w:r w:rsidRPr="00806D24">
        <w:rPr>
          <w:lang w:val="en-US"/>
        </w:rPr>
        <w:t>either on a single protocol or multiple</w:t>
      </w:r>
      <w:proofErr w:type="gramEnd"/>
      <w:r w:rsidRPr="00806D24">
        <w:rPr>
          <w:lang w:val="en-US"/>
        </w:rPr>
        <w:t xml:space="preserve"> protocols.  </w:t>
      </w:r>
    </w:p>
    <w:p w14:paraId="6E35E010" w14:textId="77777777" w:rsidR="001B36A9" w:rsidRPr="001B36A9" w:rsidRDefault="004922D7">
      <w:pPr>
        <w:spacing w:after="270"/>
        <w:ind w:left="715"/>
        <w:rPr>
          <w:lang w:val="en-US"/>
        </w:rPr>
      </w:pPr>
      <w:r w:rsidRPr="00806D24">
        <w:rPr>
          <w:u w:val="single" w:color="000000"/>
          <w:lang w:val="en-US"/>
        </w:rPr>
        <w:t>Noncompliance</w:t>
      </w:r>
      <w:r w:rsidRPr="00806D24">
        <w:rPr>
          <w:lang w:val="en-US"/>
        </w:rPr>
        <w:t xml:space="preserve">: Failure to comply with federal regulations; the policies or procedures of the </w:t>
      </w:r>
      <w:r w:rsidRPr="001B36A9">
        <w:rPr>
          <w:lang w:val="en-US"/>
        </w:rPr>
        <w:t xml:space="preserve">IRB; or institutional policies governing human research. </w:t>
      </w:r>
    </w:p>
    <w:p w14:paraId="38B31D3E" w14:textId="5CF2EB33" w:rsidR="00C7488C" w:rsidRDefault="004922D7">
      <w:pPr>
        <w:spacing w:after="270"/>
        <w:ind w:left="715"/>
        <w:rPr>
          <w:lang w:val="en-US"/>
        </w:rPr>
      </w:pPr>
      <w:r w:rsidRPr="001B36A9">
        <w:rPr>
          <w:lang w:val="en-US"/>
        </w:rPr>
        <w:t>Examples of</w:t>
      </w:r>
      <w:r w:rsidRPr="001B36A9">
        <w:rPr>
          <w:b/>
          <w:lang w:val="en-US"/>
        </w:rPr>
        <w:t xml:space="preserve"> </w:t>
      </w:r>
      <w:r w:rsidRPr="001B36A9">
        <w:rPr>
          <w:b/>
          <w:u w:val="single"/>
          <w:lang w:val="en-US"/>
        </w:rPr>
        <w:t>noncompliance</w:t>
      </w:r>
      <w:r w:rsidRPr="00806D24">
        <w:rPr>
          <w:lang w:val="en-US"/>
        </w:rPr>
        <w:t xml:space="preserve"> include: </w:t>
      </w:r>
    </w:p>
    <w:p w14:paraId="3DFCC776" w14:textId="4E8AAA46" w:rsidR="00C7488C" w:rsidRDefault="004922D7" w:rsidP="00C7488C">
      <w:pPr>
        <w:spacing w:after="270"/>
        <w:ind w:left="715" w:firstLine="0"/>
        <w:rPr>
          <w:lang w:val="en-US"/>
        </w:rPr>
      </w:pPr>
      <w:r w:rsidRPr="00806D24">
        <w:rPr>
          <w:lang w:val="en-US"/>
        </w:rPr>
        <w:lastRenderedPageBreak/>
        <w:t xml:space="preserve">(1) </w:t>
      </w:r>
      <w:proofErr w:type="gramStart"/>
      <w:r w:rsidRPr="00806D24">
        <w:rPr>
          <w:lang w:val="en-US"/>
        </w:rPr>
        <w:t>conducting</w:t>
      </w:r>
      <w:proofErr w:type="gramEnd"/>
      <w:r w:rsidRPr="00806D24">
        <w:rPr>
          <w:lang w:val="en-US"/>
        </w:rPr>
        <w:t xml:space="preserve"> human participant research without IRB approval (</w:t>
      </w:r>
      <w:r w:rsidRPr="00806D24">
        <w:rPr>
          <w:i/>
          <w:lang w:val="en-US"/>
        </w:rPr>
        <w:t xml:space="preserve">e.g., </w:t>
      </w:r>
      <w:r w:rsidRPr="00806D24">
        <w:rPr>
          <w:lang w:val="en-US"/>
        </w:rPr>
        <w:t xml:space="preserve">before approval; after expiration of approval and in the absence of a continuation application submitted to the IRB; during a suspension of IRB approval; after termination of IRB approval); </w:t>
      </w:r>
    </w:p>
    <w:p w14:paraId="1E7A8345" w14:textId="77777777" w:rsidR="00C7488C" w:rsidRDefault="004922D7">
      <w:pPr>
        <w:spacing w:after="270"/>
        <w:ind w:left="715"/>
        <w:rPr>
          <w:lang w:val="en-US"/>
        </w:rPr>
      </w:pPr>
      <w:r w:rsidRPr="00806D24">
        <w:rPr>
          <w:lang w:val="en-US"/>
        </w:rPr>
        <w:t>(2) disregarding or otherwise violating IRB-approved informed consent procedures (</w:t>
      </w:r>
      <w:r w:rsidRPr="00806D24">
        <w:rPr>
          <w:i/>
          <w:lang w:val="en-US"/>
        </w:rPr>
        <w:t xml:space="preserve">e.g., </w:t>
      </w:r>
      <w:r w:rsidRPr="00806D24">
        <w:rPr>
          <w:lang w:val="en-US"/>
        </w:rPr>
        <w:t xml:space="preserve">failing to obtain consent/assent, using unapproved or outdated consent, assent, and information sheets, missing signatures, failing to document consent process); </w:t>
      </w:r>
    </w:p>
    <w:p w14:paraId="4FABB893" w14:textId="77777777" w:rsidR="00C7488C" w:rsidRDefault="004922D7">
      <w:pPr>
        <w:spacing w:after="270"/>
        <w:ind w:left="715"/>
        <w:rPr>
          <w:lang w:val="en-US"/>
        </w:rPr>
      </w:pPr>
      <w:r w:rsidRPr="00806D24">
        <w:rPr>
          <w:lang w:val="en-US"/>
        </w:rPr>
        <w:t xml:space="preserve">(3) </w:t>
      </w:r>
      <w:proofErr w:type="gramStart"/>
      <w:r w:rsidRPr="00806D24">
        <w:rPr>
          <w:lang w:val="en-US"/>
        </w:rPr>
        <w:t>deviating</w:t>
      </w:r>
      <w:proofErr w:type="gramEnd"/>
      <w:r w:rsidRPr="00806D24">
        <w:rPr>
          <w:lang w:val="en-US"/>
        </w:rPr>
        <w:t xml:space="preserve"> from the protocol approved by the IRB; </w:t>
      </w:r>
    </w:p>
    <w:p w14:paraId="3502EA1C" w14:textId="77777777" w:rsidR="00C7488C" w:rsidRDefault="004922D7">
      <w:pPr>
        <w:spacing w:after="270"/>
        <w:ind w:left="715"/>
        <w:rPr>
          <w:lang w:val="en-US"/>
        </w:rPr>
      </w:pPr>
      <w:r w:rsidRPr="00806D24">
        <w:rPr>
          <w:lang w:val="en-US"/>
        </w:rPr>
        <w:t xml:space="preserve">(4) </w:t>
      </w:r>
      <w:proofErr w:type="gramStart"/>
      <w:r w:rsidRPr="00806D24">
        <w:rPr>
          <w:lang w:val="en-US"/>
        </w:rPr>
        <w:t>modifying</w:t>
      </w:r>
      <w:proofErr w:type="gramEnd"/>
      <w:r w:rsidRPr="00806D24">
        <w:rPr>
          <w:lang w:val="en-US"/>
        </w:rPr>
        <w:t xml:space="preserve"> an approved protocol without IRB consent; </w:t>
      </w:r>
    </w:p>
    <w:p w14:paraId="54D30B72" w14:textId="77777777" w:rsidR="00C7488C" w:rsidRDefault="004922D7">
      <w:pPr>
        <w:spacing w:after="270"/>
        <w:ind w:left="715"/>
        <w:rPr>
          <w:lang w:val="en-US"/>
        </w:rPr>
      </w:pPr>
      <w:r w:rsidRPr="00806D24">
        <w:rPr>
          <w:lang w:val="en-US"/>
        </w:rPr>
        <w:t xml:space="preserve">(5) </w:t>
      </w:r>
      <w:proofErr w:type="gramStart"/>
      <w:r w:rsidRPr="00806D24">
        <w:rPr>
          <w:lang w:val="en-US"/>
        </w:rPr>
        <w:t>failing</w:t>
      </w:r>
      <w:proofErr w:type="gramEnd"/>
      <w:r w:rsidRPr="00806D24">
        <w:rPr>
          <w:lang w:val="en-US"/>
        </w:rPr>
        <w:t xml:space="preserve"> to report or tardily reporting unanticipated problems; </w:t>
      </w:r>
    </w:p>
    <w:p w14:paraId="54DD4FE8" w14:textId="77777777" w:rsidR="00C7488C" w:rsidRDefault="004922D7">
      <w:pPr>
        <w:spacing w:after="270"/>
        <w:ind w:left="715"/>
        <w:rPr>
          <w:lang w:val="en-US"/>
        </w:rPr>
      </w:pPr>
      <w:r w:rsidRPr="00806D24">
        <w:rPr>
          <w:lang w:val="en-US"/>
        </w:rPr>
        <w:t xml:space="preserve">(6) </w:t>
      </w:r>
      <w:proofErr w:type="gramStart"/>
      <w:r w:rsidRPr="00806D24">
        <w:rPr>
          <w:lang w:val="en-US"/>
        </w:rPr>
        <w:t>failing</w:t>
      </w:r>
      <w:proofErr w:type="gramEnd"/>
      <w:r w:rsidRPr="00806D24">
        <w:rPr>
          <w:lang w:val="en-US"/>
        </w:rPr>
        <w:t xml:space="preserve"> to maintain adequate records; </w:t>
      </w:r>
    </w:p>
    <w:p w14:paraId="28C83585" w14:textId="77777777" w:rsidR="00C7488C" w:rsidRDefault="004922D7">
      <w:pPr>
        <w:spacing w:after="270"/>
        <w:ind w:left="715"/>
        <w:rPr>
          <w:lang w:val="en-US"/>
        </w:rPr>
      </w:pPr>
      <w:r w:rsidRPr="00806D24">
        <w:rPr>
          <w:lang w:val="en-US"/>
        </w:rPr>
        <w:t xml:space="preserve">(7) </w:t>
      </w:r>
      <w:proofErr w:type="gramStart"/>
      <w:r w:rsidRPr="00806D24">
        <w:rPr>
          <w:lang w:val="en-US"/>
        </w:rPr>
        <w:t>failing</w:t>
      </w:r>
      <w:proofErr w:type="gramEnd"/>
      <w:r w:rsidRPr="00806D24">
        <w:rPr>
          <w:lang w:val="en-US"/>
        </w:rPr>
        <w:t xml:space="preserve"> to train research team members in the proper procedures; and </w:t>
      </w:r>
    </w:p>
    <w:p w14:paraId="6AF60E07" w14:textId="77777777" w:rsidR="00C7488C" w:rsidRDefault="004922D7">
      <w:pPr>
        <w:spacing w:after="270"/>
        <w:ind w:left="715"/>
        <w:rPr>
          <w:lang w:val="en-US"/>
        </w:rPr>
      </w:pPr>
      <w:r w:rsidRPr="00806D24">
        <w:rPr>
          <w:lang w:val="en-US"/>
        </w:rPr>
        <w:t xml:space="preserve">(8) </w:t>
      </w:r>
      <w:proofErr w:type="gramStart"/>
      <w:r w:rsidRPr="00806D24">
        <w:rPr>
          <w:lang w:val="en-US"/>
        </w:rPr>
        <w:t>failing</w:t>
      </w:r>
      <w:proofErr w:type="gramEnd"/>
      <w:r w:rsidRPr="00806D24">
        <w:rPr>
          <w:lang w:val="en-US"/>
        </w:rPr>
        <w:t xml:space="preserve"> to follow recommendations by the IRB to ensure the safety of research participants. </w:t>
      </w:r>
    </w:p>
    <w:p w14:paraId="31E51A20" w14:textId="65723F5F" w:rsidR="00345FAF" w:rsidRPr="00806D24" w:rsidRDefault="004922D7">
      <w:pPr>
        <w:spacing w:after="270"/>
        <w:ind w:left="715"/>
        <w:rPr>
          <w:lang w:val="en-US"/>
        </w:rPr>
      </w:pPr>
      <w:r w:rsidRPr="00806D24">
        <w:rPr>
          <w:lang w:val="en-US"/>
        </w:rPr>
        <w:t xml:space="preserve">Noncompliance may constitute or may result in unanticipated problems, which </w:t>
      </w:r>
      <w:proofErr w:type="gramStart"/>
      <w:r w:rsidRPr="00806D24">
        <w:rPr>
          <w:lang w:val="en-US"/>
        </w:rPr>
        <w:t>should be addressed</w:t>
      </w:r>
      <w:proofErr w:type="gramEnd"/>
      <w:r w:rsidRPr="00806D24">
        <w:rPr>
          <w:lang w:val="en-US"/>
        </w:rPr>
        <w:t xml:space="preserve"> in accordance with </w:t>
      </w:r>
      <w:hyperlink r:id="rId14">
        <w:r w:rsidRPr="002E34D9">
          <w:rPr>
            <w:color w:val="0000FF"/>
            <w:lang w:val="en-US"/>
          </w:rPr>
          <w:t>SOP 4: Unanticipated Problems Involving Risk to Human Research Participants or Others</w:t>
        </w:r>
      </w:hyperlink>
      <w:hyperlink r:id="rId15">
        <w:r w:rsidRPr="002E34D9">
          <w:rPr>
            <w:lang w:val="en-US"/>
          </w:rPr>
          <w:t>.</w:t>
        </w:r>
      </w:hyperlink>
      <w:r w:rsidRPr="002E34D9">
        <w:rPr>
          <w:lang w:val="en-US"/>
        </w:rPr>
        <w:t xml:space="preserve"> </w:t>
      </w:r>
      <w:r w:rsidRPr="00806D24">
        <w:rPr>
          <w:lang w:val="en-US"/>
        </w:rPr>
        <w:t xml:space="preserve"> </w:t>
      </w:r>
    </w:p>
    <w:p w14:paraId="5107DD31" w14:textId="77777777" w:rsidR="00C7488C" w:rsidRDefault="004922D7">
      <w:pPr>
        <w:spacing w:after="268"/>
        <w:ind w:left="715"/>
        <w:rPr>
          <w:lang w:val="en-US"/>
        </w:rPr>
      </w:pPr>
      <w:r w:rsidRPr="00C7488C">
        <w:rPr>
          <w:b/>
          <w:u w:val="single" w:color="000000"/>
          <w:lang w:val="en-US"/>
        </w:rPr>
        <w:t>Serious Noncompliance</w:t>
      </w:r>
      <w:r w:rsidRPr="00806D24">
        <w:rPr>
          <w:lang w:val="en-US"/>
        </w:rPr>
        <w:t xml:space="preserve">: Noncompliance involving one or more of the following: </w:t>
      </w:r>
    </w:p>
    <w:p w14:paraId="5BB49A6A" w14:textId="77777777" w:rsidR="00C7488C" w:rsidRDefault="004922D7">
      <w:pPr>
        <w:spacing w:after="268"/>
        <w:ind w:left="715"/>
        <w:rPr>
          <w:lang w:val="en-US"/>
        </w:rPr>
      </w:pPr>
      <w:r w:rsidRPr="00806D24">
        <w:rPr>
          <w:lang w:val="en-US"/>
        </w:rPr>
        <w:t xml:space="preserve">(1) </w:t>
      </w:r>
      <w:proofErr w:type="gramStart"/>
      <w:r w:rsidRPr="00806D24">
        <w:rPr>
          <w:lang w:val="en-US"/>
        </w:rPr>
        <w:t>bringing</w:t>
      </w:r>
      <w:proofErr w:type="gramEnd"/>
      <w:r w:rsidRPr="00806D24">
        <w:rPr>
          <w:lang w:val="en-US"/>
        </w:rPr>
        <w:t xml:space="preserve"> harm to research participants; </w:t>
      </w:r>
    </w:p>
    <w:p w14:paraId="090C163D" w14:textId="77777777" w:rsidR="001B36A9" w:rsidRDefault="004922D7">
      <w:pPr>
        <w:spacing w:after="268"/>
        <w:ind w:left="715"/>
        <w:rPr>
          <w:lang w:val="en-US"/>
        </w:rPr>
      </w:pPr>
      <w:r w:rsidRPr="00806D24">
        <w:rPr>
          <w:lang w:val="en-US"/>
        </w:rPr>
        <w:t xml:space="preserve">(2) </w:t>
      </w:r>
      <w:proofErr w:type="gramStart"/>
      <w:r w:rsidRPr="00806D24">
        <w:rPr>
          <w:lang w:val="en-US"/>
        </w:rPr>
        <w:t>exposing</w:t>
      </w:r>
      <w:proofErr w:type="gramEnd"/>
      <w:r w:rsidRPr="00806D24">
        <w:rPr>
          <w:lang w:val="en-US"/>
        </w:rPr>
        <w:t xml:space="preserve"> research participants to a significant risk of substantive harm; </w:t>
      </w:r>
    </w:p>
    <w:p w14:paraId="5DB5992D" w14:textId="77777777" w:rsidR="001B36A9" w:rsidRDefault="004922D7">
      <w:pPr>
        <w:spacing w:after="268"/>
        <w:ind w:left="715"/>
        <w:rPr>
          <w:lang w:val="en-US"/>
        </w:rPr>
      </w:pPr>
      <w:r w:rsidRPr="00806D24">
        <w:rPr>
          <w:lang w:val="en-US"/>
        </w:rPr>
        <w:t xml:space="preserve">(3) </w:t>
      </w:r>
      <w:proofErr w:type="gramStart"/>
      <w:r w:rsidRPr="00806D24">
        <w:rPr>
          <w:lang w:val="en-US"/>
        </w:rPr>
        <w:t>compromising</w:t>
      </w:r>
      <w:proofErr w:type="gramEnd"/>
      <w:r w:rsidRPr="00806D24">
        <w:rPr>
          <w:lang w:val="en-US"/>
        </w:rPr>
        <w:t xml:space="preserve"> the privacy and confidentiality of research participants; </w:t>
      </w:r>
    </w:p>
    <w:p w14:paraId="72F862B5" w14:textId="77777777" w:rsidR="001B36A9" w:rsidRDefault="004922D7">
      <w:pPr>
        <w:spacing w:after="268"/>
        <w:ind w:left="715"/>
        <w:rPr>
          <w:lang w:val="en-US"/>
        </w:rPr>
      </w:pPr>
      <w:r w:rsidRPr="00806D24">
        <w:rPr>
          <w:lang w:val="en-US"/>
        </w:rPr>
        <w:t xml:space="preserve">(4) </w:t>
      </w:r>
      <w:proofErr w:type="gramStart"/>
      <w:r w:rsidRPr="00806D24">
        <w:rPr>
          <w:lang w:val="en-US"/>
        </w:rPr>
        <w:t>causing</w:t>
      </w:r>
      <w:proofErr w:type="gramEnd"/>
      <w:r w:rsidRPr="00806D24">
        <w:rPr>
          <w:lang w:val="en-US"/>
        </w:rPr>
        <w:t xml:space="preserve"> damage to scientific integrity of the research data that has been collected; </w:t>
      </w:r>
    </w:p>
    <w:p w14:paraId="13F906E7" w14:textId="77777777" w:rsidR="001B36A9" w:rsidRDefault="004922D7">
      <w:pPr>
        <w:spacing w:after="268"/>
        <w:ind w:left="715"/>
        <w:rPr>
          <w:lang w:val="en-US"/>
        </w:rPr>
      </w:pPr>
      <w:r w:rsidRPr="00806D24">
        <w:rPr>
          <w:lang w:val="en-US"/>
        </w:rPr>
        <w:t xml:space="preserve">(5) </w:t>
      </w:r>
      <w:proofErr w:type="gramStart"/>
      <w:r w:rsidRPr="00806D24">
        <w:rPr>
          <w:lang w:val="en-US"/>
        </w:rPr>
        <w:t>engaging</w:t>
      </w:r>
      <w:proofErr w:type="gramEnd"/>
      <w:r w:rsidRPr="00806D24">
        <w:rPr>
          <w:lang w:val="en-US"/>
        </w:rPr>
        <w:t xml:space="preserve"> in willful or knowing noncompliance</w:t>
      </w:r>
    </w:p>
    <w:p w14:paraId="3D281A29" w14:textId="68154B5C" w:rsidR="00345FAF" w:rsidRPr="00806D24" w:rsidRDefault="004922D7">
      <w:pPr>
        <w:spacing w:after="268"/>
        <w:ind w:left="715"/>
        <w:rPr>
          <w:lang w:val="en-US"/>
        </w:rPr>
      </w:pPr>
      <w:r w:rsidRPr="00806D24">
        <w:rPr>
          <w:lang w:val="en-US"/>
        </w:rPr>
        <w:t xml:space="preserve">6) </w:t>
      </w:r>
      <w:proofErr w:type="gramStart"/>
      <w:r w:rsidRPr="00806D24">
        <w:rPr>
          <w:lang w:val="en-US"/>
        </w:rPr>
        <w:t>impacting</w:t>
      </w:r>
      <w:proofErr w:type="gramEnd"/>
      <w:r w:rsidRPr="00806D24">
        <w:rPr>
          <w:lang w:val="en-US"/>
        </w:rPr>
        <w:t xml:space="preserve"> ethical principles adversely. </w:t>
      </w:r>
    </w:p>
    <w:p w14:paraId="46807D3F" w14:textId="15F9B614" w:rsidR="00345FAF" w:rsidRPr="00806D24" w:rsidRDefault="004922D7">
      <w:pPr>
        <w:ind w:left="715"/>
        <w:rPr>
          <w:lang w:val="en-US"/>
        </w:rPr>
      </w:pPr>
      <w:r w:rsidRPr="00806D24">
        <w:rPr>
          <w:lang w:val="en-US"/>
        </w:rPr>
        <w:t>In addition, all parties to whom this policy applies (</w:t>
      </w:r>
      <w:r w:rsidRPr="00806D24">
        <w:rPr>
          <w:i/>
          <w:lang w:val="en-US"/>
        </w:rPr>
        <w:t xml:space="preserve">e.g., </w:t>
      </w:r>
      <w:r w:rsidRPr="00806D24">
        <w:rPr>
          <w:lang w:val="en-US"/>
        </w:rPr>
        <w:t xml:space="preserve">faculty, </w:t>
      </w:r>
      <w:r w:rsidRPr="005D36F3">
        <w:rPr>
          <w:lang w:val="en-US"/>
        </w:rPr>
        <w:t>staff,</w:t>
      </w:r>
      <w:r w:rsidRPr="00806D24">
        <w:rPr>
          <w:lang w:val="en-US"/>
        </w:rPr>
        <w:t xml:space="preserve"> IRB members) should consult the </w:t>
      </w:r>
      <w:hyperlink r:id="rId16">
        <w:r w:rsidRPr="002E34D9">
          <w:rPr>
            <w:color w:val="0000FF"/>
            <w:lang w:val="en-US"/>
          </w:rPr>
          <w:t>IRB Glossary</w:t>
        </w:r>
      </w:hyperlink>
      <w:hyperlink r:id="rId17">
        <w:r w:rsidRPr="00806D24">
          <w:rPr>
            <w:lang w:val="en-US"/>
          </w:rPr>
          <w:t>.</w:t>
        </w:r>
      </w:hyperlink>
      <w:r w:rsidRPr="00806D24">
        <w:rPr>
          <w:lang w:val="en-US"/>
        </w:rPr>
        <w:t xml:space="preserve"> </w:t>
      </w:r>
    </w:p>
    <w:p w14:paraId="4A51B85F" w14:textId="77777777" w:rsidR="00345FAF" w:rsidRPr="00806D24" w:rsidRDefault="004922D7">
      <w:pPr>
        <w:spacing w:after="0" w:line="259" w:lineRule="auto"/>
        <w:ind w:left="720" w:firstLine="0"/>
        <w:rPr>
          <w:lang w:val="en-US"/>
        </w:rPr>
      </w:pPr>
      <w:r w:rsidRPr="00806D24">
        <w:rPr>
          <w:lang w:val="en-US"/>
        </w:rPr>
        <w:t xml:space="preserve"> </w:t>
      </w:r>
    </w:p>
    <w:p w14:paraId="3C1AF039" w14:textId="77777777" w:rsidR="00345FAF" w:rsidRDefault="004922D7">
      <w:pPr>
        <w:pStyle w:val="Heading1"/>
        <w:ind w:left="345" w:hanging="360"/>
      </w:pPr>
      <w:proofErr w:type="spellStart"/>
      <w:r>
        <w:t>Attachments</w:t>
      </w:r>
      <w:proofErr w:type="spellEnd"/>
      <w:r>
        <w:t xml:space="preserve">  </w:t>
      </w:r>
    </w:p>
    <w:p w14:paraId="707EA122" w14:textId="77777777" w:rsidR="00345FAF" w:rsidRDefault="004922D7">
      <w:pPr>
        <w:spacing w:after="0" w:line="259" w:lineRule="auto"/>
        <w:ind w:left="360" w:firstLine="0"/>
      </w:pPr>
      <w:r>
        <w:t xml:space="preserve"> </w:t>
      </w:r>
    </w:p>
    <w:p w14:paraId="44F87ACE" w14:textId="77777777" w:rsidR="00345FAF" w:rsidRPr="00806D24" w:rsidRDefault="004922D7">
      <w:pPr>
        <w:ind w:left="370"/>
        <w:rPr>
          <w:lang w:val="en-US"/>
        </w:rPr>
      </w:pPr>
      <w:r w:rsidRPr="00806D24">
        <w:rPr>
          <w:lang w:val="en-US"/>
        </w:rPr>
        <w:t xml:space="preserve">All parties to whom this policy applies should also consult: </w:t>
      </w:r>
    </w:p>
    <w:p w14:paraId="0B8C0895" w14:textId="77777777" w:rsidR="00345FAF" w:rsidRPr="00806D24" w:rsidRDefault="004922D7">
      <w:pPr>
        <w:spacing w:after="0" w:line="259" w:lineRule="auto"/>
        <w:ind w:left="0" w:firstLine="0"/>
        <w:rPr>
          <w:lang w:val="en-US"/>
        </w:rPr>
      </w:pPr>
      <w:r w:rsidRPr="00806D24">
        <w:rPr>
          <w:b/>
          <w:lang w:val="en-US"/>
        </w:rPr>
        <w:t xml:space="preserve"> </w:t>
      </w:r>
    </w:p>
    <w:p w14:paraId="1631E425" w14:textId="2A6F3E9A" w:rsidR="00345FAF" w:rsidRPr="00AA6ABE" w:rsidRDefault="004922D7">
      <w:pPr>
        <w:spacing w:after="0"/>
        <w:ind w:left="360" w:firstLine="0"/>
        <w:rPr>
          <w:lang w:val="en-US"/>
        </w:rPr>
      </w:pPr>
      <w:r w:rsidRPr="00AA6ABE">
        <w:rPr>
          <w:lang w:val="en-US"/>
        </w:rPr>
        <w:lastRenderedPageBreak/>
        <w:t>1.</w:t>
      </w:r>
      <w:r w:rsidRPr="00AA6ABE">
        <w:rPr>
          <w:rFonts w:ascii="Arial" w:eastAsia="Arial" w:hAnsi="Arial" w:cs="Arial"/>
          <w:lang w:val="en-US"/>
        </w:rPr>
        <w:t xml:space="preserve"> </w:t>
      </w:r>
      <w:r w:rsidR="00674466">
        <w:rPr>
          <w:lang w:val="en-US"/>
        </w:rPr>
        <w:t>CCC-UPR</w:t>
      </w:r>
      <w:r w:rsidRPr="00AA6ABE">
        <w:rPr>
          <w:lang w:val="en-US"/>
        </w:rPr>
        <w:t xml:space="preserve"> </w:t>
      </w:r>
      <w:hyperlink r:id="rId18">
        <w:proofErr w:type="spellStart"/>
        <w:r w:rsidRPr="002E34D9">
          <w:rPr>
            <w:color w:val="0000FF"/>
            <w:lang w:val="en-US"/>
          </w:rPr>
          <w:t>Federalwide</w:t>
        </w:r>
        <w:proofErr w:type="spellEnd"/>
        <w:r w:rsidRPr="002E34D9">
          <w:rPr>
            <w:color w:val="0000FF"/>
            <w:lang w:val="en-US"/>
          </w:rPr>
          <w:t xml:space="preserve"> Assurance Registration</w:t>
        </w:r>
      </w:hyperlink>
      <w:hyperlink r:id="rId19">
        <w:r w:rsidRPr="002E34D9">
          <w:rPr>
            <w:lang w:val="en-US"/>
          </w:rPr>
          <w:t xml:space="preserve"> </w:t>
        </w:r>
      </w:hyperlink>
    </w:p>
    <w:p w14:paraId="130A12C5" w14:textId="77777777" w:rsidR="00345FAF" w:rsidRPr="00AA6ABE" w:rsidRDefault="004922D7">
      <w:pPr>
        <w:spacing w:after="0" w:line="259" w:lineRule="auto"/>
        <w:ind w:left="0" w:firstLine="0"/>
        <w:rPr>
          <w:lang w:val="en-US"/>
        </w:rPr>
      </w:pPr>
      <w:r w:rsidRPr="00AA6ABE">
        <w:rPr>
          <w:lang w:val="en-US"/>
        </w:rPr>
        <w:t xml:space="preserve"> </w:t>
      </w:r>
    </w:p>
    <w:p w14:paraId="047ED34E" w14:textId="77777777" w:rsidR="00345FAF" w:rsidRDefault="004922D7">
      <w:pPr>
        <w:pStyle w:val="Heading1"/>
        <w:ind w:left="345" w:hanging="360"/>
      </w:pPr>
      <w:proofErr w:type="spellStart"/>
      <w:r>
        <w:t>Regulations</w:t>
      </w:r>
      <w:proofErr w:type="spellEnd"/>
      <w:r>
        <w:t xml:space="preserve"> </w:t>
      </w:r>
      <w:proofErr w:type="spellStart"/>
      <w:r>
        <w:t>Applicable</w:t>
      </w:r>
      <w:proofErr w:type="spellEnd"/>
      <w:r>
        <w:t xml:space="preserve"> to </w:t>
      </w:r>
      <w:proofErr w:type="spellStart"/>
      <w:r>
        <w:t>Managing</w:t>
      </w:r>
      <w:proofErr w:type="spellEnd"/>
      <w:r>
        <w:t xml:space="preserve"> </w:t>
      </w:r>
      <w:proofErr w:type="spellStart"/>
      <w:r>
        <w:t>Noncompliance</w:t>
      </w:r>
      <w:proofErr w:type="spellEnd"/>
      <w:r>
        <w:t xml:space="preserve"> </w:t>
      </w:r>
    </w:p>
    <w:p w14:paraId="107D129C" w14:textId="77777777" w:rsidR="00345FAF" w:rsidRDefault="004922D7">
      <w:pPr>
        <w:spacing w:after="0" w:line="259" w:lineRule="auto"/>
        <w:ind w:left="0" w:firstLine="0"/>
      </w:pPr>
      <w:r>
        <w:rPr>
          <w:b/>
        </w:rPr>
        <w:t xml:space="preserve"> </w:t>
      </w:r>
    </w:p>
    <w:p w14:paraId="293F91C9" w14:textId="77777777" w:rsidR="00345FAF" w:rsidRPr="00806D24" w:rsidRDefault="004922D7">
      <w:pPr>
        <w:ind w:left="792" w:hanging="432"/>
        <w:rPr>
          <w:lang w:val="en-US"/>
        </w:rPr>
      </w:pPr>
      <w:r w:rsidRPr="00806D24">
        <w:rPr>
          <w:b/>
          <w:lang w:val="en-US"/>
        </w:rPr>
        <w:t>5.1.</w:t>
      </w:r>
      <w:r w:rsidRPr="00806D24">
        <w:rPr>
          <w:rFonts w:ascii="Arial" w:eastAsia="Arial" w:hAnsi="Arial" w:cs="Arial"/>
          <w:b/>
          <w:lang w:val="en-US"/>
        </w:rPr>
        <w:t xml:space="preserve"> </w:t>
      </w:r>
      <w:r w:rsidRPr="00806D24">
        <w:rPr>
          <w:lang w:val="en-US"/>
        </w:rPr>
        <w:t xml:space="preserve">45 CFR 46.109; 21 CFR 56.109: IRB Review of Research, mandating IRB review and approval of human participant research. </w:t>
      </w:r>
    </w:p>
    <w:p w14:paraId="06C89ED2" w14:textId="77777777" w:rsidR="00345FAF" w:rsidRPr="00806D24" w:rsidRDefault="004922D7">
      <w:pPr>
        <w:ind w:left="792" w:hanging="432"/>
        <w:rPr>
          <w:lang w:val="en-US"/>
        </w:rPr>
      </w:pPr>
      <w:r w:rsidRPr="00806D24">
        <w:rPr>
          <w:b/>
          <w:lang w:val="en-US"/>
        </w:rPr>
        <w:t>5.2.</w:t>
      </w:r>
      <w:r w:rsidRPr="00806D24">
        <w:rPr>
          <w:rFonts w:ascii="Arial" w:eastAsia="Arial" w:hAnsi="Arial" w:cs="Arial"/>
          <w:b/>
          <w:lang w:val="en-US"/>
        </w:rPr>
        <w:t xml:space="preserve"> </w:t>
      </w:r>
      <w:r w:rsidRPr="00806D24">
        <w:rPr>
          <w:lang w:val="en-US"/>
        </w:rPr>
        <w:t>45 CFR 46.103(b)(5)(</w:t>
      </w:r>
      <w:proofErr w:type="spellStart"/>
      <w:r w:rsidRPr="00806D24">
        <w:rPr>
          <w:lang w:val="en-US"/>
        </w:rPr>
        <w:t>i</w:t>
      </w:r>
      <w:proofErr w:type="spellEnd"/>
      <w:r w:rsidRPr="00806D24">
        <w:rPr>
          <w:lang w:val="en-US"/>
        </w:rPr>
        <w:t>), mandating compliance with “[w]</w:t>
      </w:r>
      <w:proofErr w:type="spellStart"/>
      <w:r w:rsidRPr="00806D24">
        <w:rPr>
          <w:lang w:val="en-US"/>
        </w:rPr>
        <w:t>ritten</w:t>
      </w:r>
      <w:proofErr w:type="spellEnd"/>
      <w:r w:rsidRPr="00806D24">
        <w:rPr>
          <w:lang w:val="en-US"/>
        </w:rPr>
        <w:t xml:space="preserve"> procedures to ensure prompt reporting to the IRB, appropriate institutional officials, and the Department or Agency head of…any serious or continuing noncompliance with [45 CFR 46(A)] or the requirements or determinations of the IRB... .”   </w:t>
      </w:r>
    </w:p>
    <w:p w14:paraId="598186C0" w14:textId="77777777" w:rsidR="00345FAF" w:rsidRPr="00806D24" w:rsidRDefault="004922D7">
      <w:pPr>
        <w:ind w:left="792" w:hanging="432"/>
        <w:rPr>
          <w:lang w:val="en-US"/>
        </w:rPr>
      </w:pPr>
      <w:r w:rsidRPr="00806D24">
        <w:rPr>
          <w:b/>
          <w:lang w:val="en-US"/>
        </w:rPr>
        <w:t>5.3.</w:t>
      </w:r>
      <w:r w:rsidRPr="00806D24">
        <w:rPr>
          <w:rFonts w:ascii="Arial" w:eastAsia="Arial" w:hAnsi="Arial" w:cs="Arial"/>
          <w:b/>
          <w:lang w:val="en-US"/>
        </w:rPr>
        <w:t xml:space="preserve"> </w:t>
      </w:r>
      <w:r w:rsidRPr="00806D24">
        <w:rPr>
          <w:lang w:val="en-US"/>
        </w:rPr>
        <w:t>21 CFR 56.108(b)(2), mandating compliance with “[w]</w:t>
      </w:r>
      <w:proofErr w:type="spellStart"/>
      <w:r w:rsidRPr="00806D24">
        <w:rPr>
          <w:lang w:val="en-US"/>
        </w:rPr>
        <w:t>ritten</w:t>
      </w:r>
      <w:proofErr w:type="spellEnd"/>
      <w:r w:rsidRPr="00806D24">
        <w:rPr>
          <w:lang w:val="en-US"/>
        </w:rPr>
        <w:t xml:space="preserve"> procedures to ensure prompt reporting to the IRB, appropriate institutional officials, and the Food and Drug Administration of…any serious or continuing noncompliance with [21 CFR 56(C)] or the requirements or determinations of the IRB... .”   </w:t>
      </w:r>
    </w:p>
    <w:p w14:paraId="591B50E2" w14:textId="77777777" w:rsidR="00345FAF" w:rsidRPr="00806D24" w:rsidRDefault="004922D7">
      <w:pPr>
        <w:spacing w:after="0" w:line="259" w:lineRule="auto"/>
        <w:ind w:left="360" w:firstLine="0"/>
        <w:rPr>
          <w:lang w:val="en-US"/>
        </w:rPr>
      </w:pPr>
      <w:r w:rsidRPr="00806D24">
        <w:rPr>
          <w:lang w:val="en-US"/>
        </w:rPr>
        <w:t xml:space="preserve"> </w:t>
      </w:r>
    </w:p>
    <w:p w14:paraId="07FAE5D7" w14:textId="77777777" w:rsidR="00345FAF" w:rsidRDefault="004922D7">
      <w:pPr>
        <w:pStyle w:val="Heading1"/>
        <w:ind w:left="345" w:hanging="360"/>
      </w:pPr>
      <w:proofErr w:type="spellStart"/>
      <w:r>
        <w:t>Addressing</w:t>
      </w:r>
      <w:proofErr w:type="spellEnd"/>
      <w:r>
        <w:t xml:space="preserve"> </w:t>
      </w:r>
      <w:proofErr w:type="spellStart"/>
      <w:r>
        <w:t>Allegations</w:t>
      </w:r>
      <w:proofErr w:type="spellEnd"/>
      <w:r>
        <w:t xml:space="preserve"> of </w:t>
      </w:r>
      <w:proofErr w:type="spellStart"/>
      <w:r>
        <w:t>Noncompliance</w:t>
      </w:r>
      <w:proofErr w:type="spellEnd"/>
      <w:r>
        <w:t xml:space="preserve"> </w:t>
      </w:r>
    </w:p>
    <w:p w14:paraId="3F50269F" w14:textId="77777777" w:rsidR="00345FAF" w:rsidRDefault="004922D7">
      <w:pPr>
        <w:spacing w:after="0" w:line="259" w:lineRule="auto"/>
        <w:ind w:left="0" w:firstLine="0"/>
      </w:pPr>
      <w:r>
        <w:rPr>
          <w:b/>
        </w:rPr>
        <w:t xml:space="preserve"> </w:t>
      </w:r>
    </w:p>
    <w:p w14:paraId="00E6807A" w14:textId="7C9B64B2" w:rsidR="00345FAF" w:rsidRPr="00806D24" w:rsidRDefault="004922D7">
      <w:pPr>
        <w:ind w:left="792" w:hanging="432"/>
        <w:rPr>
          <w:lang w:val="en-US"/>
        </w:rPr>
      </w:pPr>
      <w:proofErr w:type="gramStart"/>
      <w:r w:rsidRPr="00806D24">
        <w:rPr>
          <w:b/>
          <w:lang w:val="en-US"/>
        </w:rPr>
        <w:t>6.1.</w:t>
      </w:r>
      <w:r w:rsidRPr="00806D24">
        <w:rPr>
          <w:rFonts w:ascii="Arial" w:eastAsia="Arial" w:hAnsi="Arial" w:cs="Arial"/>
          <w:b/>
          <w:lang w:val="en-US"/>
        </w:rPr>
        <w:t xml:space="preserve"> </w:t>
      </w:r>
      <w:r w:rsidRPr="00806D24">
        <w:rPr>
          <w:lang w:val="en-US"/>
        </w:rPr>
        <w:t>The IRB may become aware of an allegation of noncompliance or of circumstances indicating noncompliance (</w:t>
      </w:r>
      <w:r w:rsidRPr="00806D24">
        <w:rPr>
          <w:i/>
          <w:lang w:val="en-US"/>
        </w:rPr>
        <w:t xml:space="preserve">see </w:t>
      </w:r>
      <w:r w:rsidRPr="00806D24">
        <w:rPr>
          <w:lang w:val="en-US"/>
        </w:rPr>
        <w:t xml:space="preserve">Section 3, Terms and Definition, Noncompliance) upon the receipt of a complaint from a participant, researcher, </w:t>
      </w:r>
      <w:r w:rsidR="00674466">
        <w:rPr>
          <w:lang w:val="en-US"/>
        </w:rPr>
        <w:t>CCC-UPR</w:t>
      </w:r>
      <w:r w:rsidRPr="00806D24">
        <w:rPr>
          <w:lang w:val="en-US"/>
        </w:rPr>
        <w:t xml:space="preserve"> employee, or member of the public; from the interpretation of information received during a Continuation, Amendment, Unanticipated Problems Review; or from the findings of a random or for-cause audit or other quality control activities.</w:t>
      </w:r>
      <w:proofErr w:type="gramEnd"/>
      <w:r w:rsidRPr="00806D24">
        <w:rPr>
          <w:lang w:val="en-US"/>
        </w:rPr>
        <w:t xml:space="preserve">  </w:t>
      </w:r>
      <w:r w:rsidRPr="00806D24">
        <w:rPr>
          <w:b/>
          <w:lang w:val="en-US"/>
        </w:rPr>
        <w:t xml:space="preserve"> </w:t>
      </w:r>
    </w:p>
    <w:p w14:paraId="25DB6C37" w14:textId="77777777" w:rsidR="00345FAF" w:rsidRPr="00806D24" w:rsidRDefault="004922D7">
      <w:pPr>
        <w:spacing w:after="0" w:line="259" w:lineRule="auto"/>
        <w:ind w:left="360" w:firstLine="0"/>
        <w:rPr>
          <w:lang w:val="en-US"/>
        </w:rPr>
      </w:pPr>
      <w:r w:rsidRPr="00806D24">
        <w:rPr>
          <w:b/>
          <w:lang w:val="en-US"/>
        </w:rPr>
        <w:t xml:space="preserve"> </w:t>
      </w:r>
    </w:p>
    <w:p w14:paraId="6DD32DAE" w14:textId="39C23ADB" w:rsidR="00345FAF" w:rsidRPr="00806D24" w:rsidRDefault="004922D7">
      <w:pPr>
        <w:ind w:left="792" w:hanging="432"/>
        <w:rPr>
          <w:lang w:val="en-US"/>
        </w:rPr>
      </w:pPr>
      <w:r w:rsidRPr="00806D24">
        <w:rPr>
          <w:b/>
          <w:lang w:val="en-US"/>
        </w:rPr>
        <w:t>6.2.</w:t>
      </w:r>
      <w:r w:rsidRPr="00806D24">
        <w:rPr>
          <w:rFonts w:ascii="Arial" w:eastAsia="Arial" w:hAnsi="Arial" w:cs="Arial"/>
          <w:b/>
          <w:lang w:val="en-US"/>
        </w:rPr>
        <w:t xml:space="preserve"> </w:t>
      </w:r>
      <w:r w:rsidRPr="00806D24">
        <w:rPr>
          <w:lang w:val="en-US"/>
        </w:rPr>
        <w:t xml:space="preserve">Once it has received an allegation of noncompliance, </w:t>
      </w:r>
      <w:r w:rsidR="005D36F3">
        <w:rPr>
          <w:lang w:val="en-US"/>
        </w:rPr>
        <w:t>IRB</w:t>
      </w:r>
      <w:r w:rsidRPr="00806D24">
        <w:rPr>
          <w:lang w:val="en-US"/>
        </w:rPr>
        <w:t xml:space="preserve"> will request the alleger to submit a Noncompliance Report Form to </w:t>
      </w:r>
      <w:r w:rsidR="005D36F3">
        <w:rPr>
          <w:lang w:val="en-US"/>
        </w:rPr>
        <w:t>IRB</w:t>
      </w:r>
      <w:r w:rsidRPr="00806D24">
        <w:rPr>
          <w:lang w:val="en-US"/>
        </w:rPr>
        <w:t xml:space="preserve">. In the case of an anonymous complaint or a request for confidentiality, </w:t>
      </w:r>
      <w:r w:rsidR="005D36F3">
        <w:rPr>
          <w:lang w:val="en-US"/>
        </w:rPr>
        <w:t>IRB</w:t>
      </w:r>
      <w:r w:rsidRPr="00806D24">
        <w:rPr>
          <w:lang w:val="en-US"/>
        </w:rPr>
        <w:t xml:space="preserve"> will submit this form. The IRB Chair will make the following initial determinations: (a) whether noncompliance is alleged</w:t>
      </w:r>
      <w:proofErr w:type="gramStart"/>
      <w:r w:rsidRPr="00806D24">
        <w:rPr>
          <w:lang w:val="en-US"/>
        </w:rPr>
        <w:t>;</w:t>
      </w:r>
      <w:proofErr w:type="gramEnd"/>
      <w:r w:rsidRPr="00806D24">
        <w:rPr>
          <w:lang w:val="en-US"/>
        </w:rPr>
        <w:t xml:space="preserve"> and (b) whether the allegation indicates that an immediate action such as suspension by the IRB is warranted. If it is determined that immediate action by the IRB is warranted (</w:t>
      </w:r>
      <w:r w:rsidRPr="00806D24">
        <w:rPr>
          <w:i/>
          <w:lang w:val="en-US"/>
        </w:rPr>
        <w:t xml:space="preserve">e.g., </w:t>
      </w:r>
      <w:r w:rsidRPr="00806D24">
        <w:rPr>
          <w:lang w:val="en-US"/>
        </w:rPr>
        <w:t xml:space="preserve">suspension), then the IRB Chair will initiate </w:t>
      </w:r>
    </w:p>
    <w:p w14:paraId="598C5E4A" w14:textId="0A1EC936" w:rsidR="00345FAF" w:rsidRPr="00806D24" w:rsidRDefault="004922D7">
      <w:pPr>
        <w:ind w:left="715"/>
        <w:rPr>
          <w:lang w:val="en-US"/>
        </w:rPr>
      </w:pPr>
      <w:r w:rsidRPr="00806D24">
        <w:rPr>
          <w:lang w:val="en-US"/>
        </w:rPr>
        <w:t xml:space="preserve">those proceedings in accordance with SOP 6: </w:t>
      </w:r>
      <w:hyperlink r:id="rId20">
        <w:r w:rsidRPr="002E34D9">
          <w:rPr>
            <w:color w:val="0000FF"/>
            <w:lang w:val="en-US"/>
          </w:rPr>
          <w:t>SOP 6: Suspensions and Terminations of IRB</w:t>
        </w:r>
      </w:hyperlink>
      <w:hyperlink r:id="rId21">
        <w:r w:rsidRPr="002E34D9">
          <w:rPr>
            <w:color w:val="0000FF"/>
            <w:lang w:val="en-US"/>
          </w:rPr>
          <w:t xml:space="preserve"> </w:t>
        </w:r>
      </w:hyperlink>
      <w:hyperlink r:id="rId22">
        <w:r w:rsidRPr="002E34D9">
          <w:rPr>
            <w:color w:val="0000FF"/>
            <w:lang w:val="en-US"/>
          </w:rPr>
          <w:t>Approval of Research Protocols</w:t>
        </w:r>
      </w:hyperlink>
      <w:hyperlink r:id="rId23">
        <w:r w:rsidRPr="00806D24">
          <w:rPr>
            <w:lang w:val="en-US"/>
          </w:rPr>
          <w:t>,</w:t>
        </w:r>
      </w:hyperlink>
      <w:r w:rsidRPr="00806D24">
        <w:rPr>
          <w:lang w:val="en-US"/>
        </w:rPr>
        <w:t xml:space="preserve"> Section 8.2, Suspensions by the Chair of the IRB. </w:t>
      </w:r>
      <w:r w:rsidR="005D36F3">
        <w:rPr>
          <w:lang w:val="en-US"/>
        </w:rPr>
        <w:t>IRB</w:t>
      </w:r>
      <w:r w:rsidRPr="00806D24">
        <w:rPr>
          <w:lang w:val="en-US"/>
        </w:rPr>
        <w:t xml:space="preserve"> will </w:t>
      </w:r>
      <w:r w:rsidRPr="00674466">
        <w:rPr>
          <w:lang w:val="en-US"/>
        </w:rPr>
        <w:t xml:space="preserve">then initiate an investigation of the circumstances alleged in the Noncompliance Report Form. </w:t>
      </w:r>
      <w:r w:rsidR="005D36F3" w:rsidRPr="00674466">
        <w:rPr>
          <w:lang w:val="en-US"/>
        </w:rPr>
        <w:t>IRB</w:t>
      </w:r>
      <w:r w:rsidRPr="00674466">
        <w:rPr>
          <w:lang w:val="en-US"/>
        </w:rPr>
        <w:t xml:space="preserve"> may elect to investigate informally by reading relevant documents and communicating</w:t>
      </w:r>
      <w:r w:rsidRPr="00806D24">
        <w:rPr>
          <w:lang w:val="en-US"/>
        </w:rPr>
        <w:t xml:space="preserve"> with the affected parties. If the IRB Chair determine that the allegation is not credible or is unsubstantiated, then the inquiry ends. </w:t>
      </w:r>
      <w:r w:rsidR="005D36F3">
        <w:rPr>
          <w:lang w:val="en-US"/>
        </w:rPr>
        <w:t>IRB</w:t>
      </w:r>
      <w:r w:rsidRPr="00806D24">
        <w:rPr>
          <w:lang w:val="en-US"/>
        </w:rPr>
        <w:t xml:space="preserve"> will document this finding in a written report; place the report in the study file; and notify the IRB of the finding on the agenda of the next available meeting. If, however, the inquiry yields evidence that noncompliance has occurred, then </w:t>
      </w:r>
      <w:r w:rsidR="005D36F3">
        <w:rPr>
          <w:lang w:val="en-US"/>
        </w:rPr>
        <w:t>PI</w:t>
      </w:r>
      <w:r w:rsidRPr="00806D24">
        <w:rPr>
          <w:lang w:val="en-US"/>
        </w:rPr>
        <w:t xml:space="preserve"> will present this information to the IRB Chair and submit a corresponding report to the full IRB for discussion at the next available meeting.</w:t>
      </w:r>
      <w:r w:rsidRPr="00806D24">
        <w:rPr>
          <w:b/>
          <w:lang w:val="en-US"/>
        </w:rPr>
        <w:t xml:space="preserve"> </w:t>
      </w:r>
    </w:p>
    <w:p w14:paraId="790A18AB" w14:textId="77777777" w:rsidR="00345FAF" w:rsidRPr="00806D24" w:rsidRDefault="004922D7">
      <w:pPr>
        <w:spacing w:after="0" w:line="259" w:lineRule="auto"/>
        <w:ind w:left="0" w:firstLine="0"/>
        <w:rPr>
          <w:lang w:val="en-US"/>
        </w:rPr>
      </w:pPr>
      <w:r w:rsidRPr="00806D24">
        <w:rPr>
          <w:lang w:val="en-US"/>
        </w:rPr>
        <w:t xml:space="preserve"> </w:t>
      </w:r>
    </w:p>
    <w:p w14:paraId="13614585" w14:textId="77777777" w:rsidR="00345FAF" w:rsidRPr="00674466" w:rsidRDefault="004922D7">
      <w:pPr>
        <w:pStyle w:val="Heading1"/>
        <w:ind w:left="345" w:hanging="360"/>
      </w:pPr>
      <w:proofErr w:type="spellStart"/>
      <w:r w:rsidRPr="00674466">
        <w:t>Confirming</w:t>
      </w:r>
      <w:proofErr w:type="spellEnd"/>
      <w:r w:rsidRPr="00674466">
        <w:t xml:space="preserve"> and </w:t>
      </w:r>
      <w:proofErr w:type="spellStart"/>
      <w:r w:rsidRPr="00674466">
        <w:t>Resolving</w:t>
      </w:r>
      <w:proofErr w:type="spellEnd"/>
      <w:r w:rsidRPr="00674466">
        <w:t xml:space="preserve"> </w:t>
      </w:r>
      <w:proofErr w:type="spellStart"/>
      <w:r w:rsidRPr="00674466">
        <w:t>Noncompliance</w:t>
      </w:r>
      <w:proofErr w:type="spellEnd"/>
      <w:r w:rsidRPr="00674466">
        <w:t xml:space="preserve"> </w:t>
      </w:r>
    </w:p>
    <w:p w14:paraId="15B4BA4A" w14:textId="77777777" w:rsidR="00345FAF" w:rsidRDefault="004922D7">
      <w:pPr>
        <w:spacing w:after="0" w:line="259" w:lineRule="auto"/>
        <w:ind w:left="0" w:firstLine="0"/>
      </w:pPr>
      <w:r>
        <w:rPr>
          <w:b/>
        </w:rPr>
        <w:t xml:space="preserve"> </w:t>
      </w:r>
    </w:p>
    <w:p w14:paraId="515B5A7C" w14:textId="56C5C9D6" w:rsidR="00345FAF" w:rsidRPr="00806D24" w:rsidRDefault="004922D7">
      <w:pPr>
        <w:ind w:left="792" w:hanging="432"/>
        <w:rPr>
          <w:lang w:val="en-US"/>
        </w:rPr>
      </w:pPr>
      <w:r w:rsidRPr="00806D24">
        <w:rPr>
          <w:b/>
          <w:lang w:val="en-US"/>
        </w:rPr>
        <w:lastRenderedPageBreak/>
        <w:t>7.1.</w:t>
      </w:r>
      <w:r w:rsidRPr="00806D24">
        <w:rPr>
          <w:rFonts w:ascii="Arial" w:eastAsia="Arial" w:hAnsi="Arial" w:cs="Arial"/>
          <w:b/>
          <w:lang w:val="en-US"/>
        </w:rPr>
        <w:t xml:space="preserve"> </w:t>
      </w:r>
      <w:r w:rsidRPr="00806D24">
        <w:rPr>
          <w:lang w:val="en-US"/>
        </w:rPr>
        <w:t>If it is determined that the noncompliance is neither serious nor continuing (</w:t>
      </w:r>
      <w:r w:rsidRPr="00806D24">
        <w:rPr>
          <w:i/>
          <w:lang w:val="en-US"/>
        </w:rPr>
        <w:t xml:space="preserve">see </w:t>
      </w:r>
      <w:r w:rsidRPr="00806D24">
        <w:rPr>
          <w:lang w:val="en-US"/>
        </w:rPr>
        <w:t>Section 3, Terms and Definitions), the IRB Chair will devise a corrective plan, which generally will involve immediate remediation (</w:t>
      </w:r>
      <w:r w:rsidRPr="00806D24">
        <w:rPr>
          <w:i/>
          <w:lang w:val="en-US"/>
        </w:rPr>
        <w:t xml:space="preserve">e.g., </w:t>
      </w:r>
      <w:r w:rsidRPr="00806D24">
        <w:rPr>
          <w:lang w:val="en-US"/>
        </w:rPr>
        <w:t>obtaining signature of Protocol PI on submissions, providing missing documentation) and/or</w:t>
      </w:r>
      <w:r w:rsidR="005D36F3">
        <w:rPr>
          <w:lang w:val="en-US"/>
        </w:rPr>
        <w:t xml:space="preserve"> remedial education</w:t>
      </w:r>
      <w:r w:rsidRPr="00806D24">
        <w:rPr>
          <w:lang w:val="en-US"/>
        </w:rPr>
        <w:t xml:space="preserve">.  </w:t>
      </w:r>
      <w:r w:rsidRPr="00806D24">
        <w:rPr>
          <w:b/>
          <w:lang w:val="en-US"/>
        </w:rPr>
        <w:t xml:space="preserve"> </w:t>
      </w:r>
    </w:p>
    <w:p w14:paraId="38AB2A54" w14:textId="77777777" w:rsidR="00345FAF" w:rsidRPr="00806D24" w:rsidRDefault="004922D7">
      <w:pPr>
        <w:spacing w:after="0" w:line="259" w:lineRule="auto"/>
        <w:ind w:left="0" w:firstLine="0"/>
        <w:rPr>
          <w:lang w:val="en-US"/>
        </w:rPr>
      </w:pPr>
      <w:r w:rsidRPr="00806D24">
        <w:rPr>
          <w:b/>
          <w:lang w:val="en-US"/>
        </w:rPr>
        <w:t xml:space="preserve"> </w:t>
      </w:r>
    </w:p>
    <w:p w14:paraId="1983A5D8" w14:textId="13AFEEAC" w:rsidR="00345FAF" w:rsidRPr="00806D24" w:rsidRDefault="004922D7">
      <w:pPr>
        <w:ind w:left="792" w:hanging="432"/>
        <w:rPr>
          <w:lang w:val="en-US"/>
        </w:rPr>
      </w:pPr>
      <w:r w:rsidRPr="00806D24">
        <w:rPr>
          <w:b/>
          <w:lang w:val="en-US"/>
        </w:rPr>
        <w:t>7.2.</w:t>
      </w:r>
      <w:r w:rsidRPr="00806D24">
        <w:rPr>
          <w:rFonts w:ascii="Arial" w:eastAsia="Arial" w:hAnsi="Arial" w:cs="Arial"/>
          <w:b/>
          <w:lang w:val="en-US"/>
        </w:rPr>
        <w:t xml:space="preserve"> </w:t>
      </w:r>
      <w:r w:rsidRPr="00674466">
        <w:rPr>
          <w:lang w:val="en-US"/>
        </w:rPr>
        <w:t xml:space="preserve">If it is determined that the noncompliance is serious or continuing, </w:t>
      </w:r>
      <w:r w:rsidR="005D36F3" w:rsidRPr="00674466">
        <w:rPr>
          <w:lang w:val="en-US"/>
        </w:rPr>
        <w:t>IRB</w:t>
      </w:r>
      <w:r w:rsidRPr="00674466">
        <w:rPr>
          <w:lang w:val="en-US"/>
        </w:rPr>
        <w:t xml:space="preserve"> will conduct a for</w:t>
      </w:r>
      <w:r w:rsidR="005D36F3" w:rsidRPr="00674466">
        <w:rPr>
          <w:lang w:val="en-US"/>
        </w:rPr>
        <w:t xml:space="preserve"> </w:t>
      </w:r>
      <w:r w:rsidRPr="00674466">
        <w:rPr>
          <w:lang w:val="en-US"/>
        </w:rPr>
        <w:t>cause audit.</w:t>
      </w:r>
      <w:r w:rsidRPr="00806D24">
        <w:rPr>
          <w:lang w:val="en-US"/>
        </w:rPr>
        <w:t xml:space="preserve"> If it is determined that an unanticipated problem has occurred, the IRB Chair will address it in accordance with </w:t>
      </w:r>
      <w:hyperlink r:id="rId24">
        <w:r w:rsidRPr="002E34D9">
          <w:rPr>
            <w:color w:val="0000FF"/>
            <w:lang w:val="en-US"/>
          </w:rPr>
          <w:t>SOP 4: Unanticipated Problems Involving Risk to</w:t>
        </w:r>
      </w:hyperlink>
      <w:hyperlink r:id="rId25">
        <w:r w:rsidRPr="002E34D9">
          <w:rPr>
            <w:color w:val="0000FF"/>
            <w:lang w:val="en-US"/>
          </w:rPr>
          <w:t xml:space="preserve"> </w:t>
        </w:r>
      </w:hyperlink>
      <w:hyperlink r:id="rId26">
        <w:r w:rsidRPr="002E34D9">
          <w:rPr>
            <w:color w:val="0000FF"/>
            <w:lang w:val="en-US"/>
          </w:rPr>
          <w:t>Human Research Participants or Others</w:t>
        </w:r>
      </w:hyperlink>
      <w:hyperlink r:id="rId27">
        <w:r w:rsidRPr="00806D24">
          <w:rPr>
            <w:lang w:val="en-US"/>
          </w:rPr>
          <w:t>.</w:t>
        </w:r>
      </w:hyperlink>
      <w:r w:rsidRPr="00806D24">
        <w:rPr>
          <w:lang w:val="en-US"/>
        </w:rPr>
        <w:t xml:space="preserve"> The Protocol PI may request a meeting with the IRB Chair regarding their determination of serious or continuing noncompliance.  </w:t>
      </w:r>
    </w:p>
    <w:p w14:paraId="6A7E1453" w14:textId="334B4BE2" w:rsidR="00345FAF" w:rsidRPr="00806D24" w:rsidRDefault="004922D7">
      <w:pPr>
        <w:ind w:left="715"/>
        <w:rPr>
          <w:lang w:val="en-US"/>
        </w:rPr>
      </w:pPr>
      <w:r w:rsidRPr="00806D24">
        <w:rPr>
          <w:lang w:val="en-US"/>
        </w:rPr>
        <w:t xml:space="preserve">As stated in SOP 6: </w:t>
      </w:r>
      <w:hyperlink r:id="rId28">
        <w:r w:rsidRPr="002E34D9">
          <w:rPr>
            <w:color w:val="0000FF"/>
            <w:lang w:val="en-US"/>
          </w:rPr>
          <w:t>SOP 6: Suspensions and Terminations of IRB Approval of Research</w:t>
        </w:r>
      </w:hyperlink>
      <w:hyperlink r:id="rId29">
        <w:r w:rsidRPr="002E34D9">
          <w:rPr>
            <w:color w:val="0000FF"/>
            <w:lang w:val="en-US"/>
          </w:rPr>
          <w:t xml:space="preserve"> </w:t>
        </w:r>
      </w:hyperlink>
      <w:hyperlink r:id="rId30">
        <w:r w:rsidRPr="002E34D9">
          <w:rPr>
            <w:color w:val="0000FF"/>
            <w:lang w:val="en-US"/>
          </w:rPr>
          <w:t>Protocols</w:t>
        </w:r>
      </w:hyperlink>
      <w:hyperlink r:id="rId31">
        <w:r w:rsidRPr="00806D24">
          <w:rPr>
            <w:lang w:val="en-US"/>
          </w:rPr>
          <w:t>,</w:t>
        </w:r>
      </w:hyperlink>
      <w:r w:rsidRPr="00806D24">
        <w:rPr>
          <w:lang w:val="en-US"/>
        </w:rPr>
        <w:t xml:space="preserve"> Section 7.4, a Protocol PI may decide voluntarily to suspend or terminate some or all of the research activities that may be under current review or investigation. The Protocol PI should inform </w:t>
      </w:r>
      <w:r w:rsidR="005D36F3">
        <w:rPr>
          <w:lang w:val="en-US"/>
        </w:rPr>
        <w:t>IRB</w:t>
      </w:r>
      <w:r w:rsidRPr="00806D24">
        <w:rPr>
          <w:lang w:val="en-US"/>
        </w:rPr>
        <w:t xml:space="preserve"> of this action, the IRB Chair and place the protocol on the agenda for the next available IRB meeting. The IRB will address the suspension or termination in accordance with SOP 6.  </w:t>
      </w:r>
      <w:r w:rsidRPr="00806D24">
        <w:rPr>
          <w:b/>
          <w:lang w:val="en-US"/>
        </w:rPr>
        <w:t xml:space="preserve"> </w:t>
      </w:r>
    </w:p>
    <w:p w14:paraId="01DEB196" w14:textId="77777777" w:rsidR="00345FAF" w:rsidRPr="00806D24" w:rsidRDefault="004922D7">
      <w:pPr>
        <w:spacing w:after="0" w:line="259" w:lineRule="auto"/>
        <w:ind w:left="0" w:firstLine="0"/>
        <w:rPr>
          <w:lang w:val="en-US"/>
        </w:rPr>
      </w:pPr>
      <w:r w:rsidRPr="00806D24">
        <w:rPr>
          <w:lang w:val="en-US"/>
        </w:rPr>
        <w:t xml:space="preserve"> </w:t>
      </w:r>
    </w:p>
    <w:p w14:paraId="574F7D84" w14:textId="023631F7" w:rsidR="00345FAF" w:rsidRPr="002E34D9" w:rsidRDefault="004922D7">
      <w:pPr>
        <w:ind w:left="792" w:hanging="432"/>
        <w:rPr>
          <w:lang w:val="en-US"/>
        </w:rPr>
      </w:pPr>
      <w:r w:rsidRPr="00806D24">
        <w:rPr>
          <w:b/>
          <w:lang w:val="en-US"/>
        </w:rPr>
        <w:t>7.3.</w:t>
      </w:r>
      <w:r w:rsidRPr="00806D24">
        <w:rPr>
          <w:rFonts w:ascii="Arial" w:eastAsia="Arial" w:hAnsi="Arial" w:cs="Arial"/>
          <w:b/>
          <w:lang w:val="en-US"/>
        </w:rPr>
        <w:t xml:space="preserve"> </w:t>
      </w:r>
      <w:r w:rsidR="005D36F3">
        <w:rPr>
          <w:lang w:val="en-US"/>
        </w:rPr>
        <w:t>IRB</w:t>
      </w:r>
      <w:r w:rsidRPr="00806D24">
        <w:rPr>
          <w:lang w:val="en-US"/>
        </w:rPr>
        <w:t xml:space="preserve"> will distribute its for-cause audit report to the Protocol PI, the IRB Chair, the members of the IRB, and, if appropriate, the Institutional Official and/or appropriate Dean and/or Chair of the Protocol PI’s Department. The Protocol PI may submit a response to the audit report in writing and/or may request to speak to the IRB at a convened meeting. </w:t>
      </w:r>
      <w:r w:rsidR="005D36F3">
        <w:rPr>
          <w:lang w:val="en-US"/>
        </w:rPr>
        <w:t>IRB</w:t>
      </w:r>
      <w:r w:rsidRPr="00806D24">
        <w:rPr>
          <w:lang w:val="en-US"/>
        </w:rPr>
        <w:t xml:space="preserve"> will place the report and any written response from the Protocol PI as discussion items on the agenda of the next available IRB meeting. The IRB will make a final determination as to whether the evidence supports a finding of serious or continuing noncompliance and, if so, will determine a corrective plan, including timeframe for correction, and will, if necessary, initiate suspension or termination proceedings in accordance </w:t>
      </w:r>
      <w:r w:rsidRPr="002E34D9">
        <w:rPr>
          <w:lang w:val="en-US"/>
        </w:rPr>
        <w:t xml:space="preserve">with </w:t>
      </w:r>
      <w:hyperlink r:id="rId32">
        <w:r w:rsidRPr="002E34D9">
          <w:rPr>
            <w:color w:val="0000FF"/>
            <w:lang w:val="en-US"/>
          </w:rPr>
          <w:t>SOP 6: Suspensions and Terminations of IRB</w:t>
        </w:r>
      </w:hyperlink>
      <w:hyperlink r:id="rId33">
        <w:r w:rsidRPr="002E34D9">
          <w:rPr>
            <w:color w:val="0000FF"/>
            <w:lang w:val="en-US"/>
          </w:rPr>
          <w:t xml:space="preserve"> </w:t>
        </w:r>
      </w:hyperlink>
      <w:hyperlink r:id="rId34">
        <w:r w:rsidRPr="002E34D9">
          <w:rPr>
            <w:color w:val="0000FF"/>
            <w:lang w:val="en-US"/>
          </w:rPr>
          <w:t>Approval of Research Protocols</w:t>
        </w:r>
      </w:hyperlink>
      <w:hyperlink r:id="rId35">
        <w:r w:rsidRPr="002E34D9">
          <w:rPr>
            <w:lang w:val="en-US"/>
          </w:rPr>
          <w:t>.</w:t>
        </w:r>
      </w:hyperlink>
      <w:r w:rsidRPr="002E34D9">
        <w:rPr>
          <w:lang w:val="en-US"/>
        </w:rPr>
        <w:t xml:space="preserve">  </w:t>
      </w:r>
      <w:r w:rsidRPr="002E34D9">
        <w:rPr>
          <w:b/>
          <w:lang w:val="en-US"/>
        </w:rPr>
        <w:t xml:space="preserve"> </w:t>
      </w:r>
    </w:p>
    <w:p w14:paraId="1F8F0960" w14:textId="77777777" w:rsidR="00345FAF" w:rsidRPr="00806D24" w:rsidRDefault="004922D7">
      <w:pPr>
        <w:spacing w:after="0" w:line="259" w:lineRule="auto"/>
        <w:ind w:left="0" w:firstLine="0"/>
        <w:rPr>
          <w:lang w:val="en-US"/>
        </w:rPr>
      </w:pPr>
      <w:r w:rsidRPr="00806D24">
        <w:rPr>
          <w:b/>
          <w:lang w:val="en-US"/>
        </w:rPr>
        <w:t xml:space="preserve"> </w:t>
      </w:r>
    </w:p>
    <w:p w14:paraId="4D6758E1" w14:textId="77777777" w:rsidR="00345FAF" w:rsidRPr="00806D24" w:rsidRDefault="004922D7">
      <w:pPr>
        <w:ind w:left="792" w:hanging="432"/>
        <w:rPr>
          <w:lang w:val="en-US"/>
        </w:rPr>
      </w:pPr>
      <w:r w:rsidRPr="00806D24">
        <w:rPr>
          <w:b/>
          <w:lang w:val="en-US"/>
        </w:rPr>
        <w:t>7.4.</w:t>
      </w:r>
      <w:r w:rsidRPr="00806D24">
        <w:rPr>
          <w:rFonts w:ascii="Arial" w:eastAsia="Arial" w:hAnsi="Arial" w:cs="Arial"/>
          <w:b/>
          <w:lang w:val="en-US"/>
        </w:rPr>
        <w:t xml:space="preserve"> </w:t>
      </w:r>
      <w:r w:rsidRPr="00806D24">
        <w:rPr>
          <w:lang w:val="en-US"/>
        </w:rPr>
        <w:t xml:space="preserve">In reviewing information to make a final determination of serious or continuing noncompliance, the IRB should consider: </w:t>
      </w:r>
    </w:p>
    <w:p w14:paraId="10C981A3" w14:textId="77777777" w:rsidR="00345FAF" w:rsidRPr="00806D24" w:rsidRDefault="004922D7">
      <w:pPr>
        <w:spacing w:after="0" w:line="259" w:lineRule="auto"/>
        <w:ind w:left="720" w:firstLine="0"/>
        <w:rPr>
          <w:lang w:val="en-US"/>
        </w:rPr>
      </w:pPr>
      <w:r w:rsidRPr="00806D24">
        <w:rPr>
          <w:lang w:val="en-US"/>
        </w:rPr>
        <w:t xml:space="preserve"> </w:t>
      </w:r>
    </w:p>
    <w:p w14:paraId="1D7F1226" w14:textId="77777777" w:rsidR="00345FAF" w:rsidRPr="00806D24" w:rsidRDefault="004922D7">
      <w:pPr>
        <w:numPr>
          <w:ilvl w:val="0"/>
          <w:numId w:val="1"/>
        </w:numPr>
        <w:ind w:hanging="360"/>
        <w:rPr>
          <w:lang w:val="en-US"/>
        </w:rPr>
      </w:pPr>
      <w:r w:rsidRPr="00806D24">
        <w:rPr>
          <w:lang w:val="en-US"/>
        </w:rPr>
        <w:t xml:space="preserve">Whether the audit report and any other available information sufficiently supports a determination of non-compliance </w:t>
      </w:r>
    </w:p>
    <w:p w14:paraId="2EE7FDAB" w14:textId="77777777" w:rsidR="00345FAF" w:rsidRPr="00806D24" w:rsidRDefault="004922D7">
      <w:pPr>
        <w:numPr>
          <w:ilvl w:val="0"/>
          <w:numId w:val="1"/>
        </w:numPr>
        <w:ind w:hanging="360"/>
        <w:rPr>
          <w:lang w:val="en-US"/>
        </w:rPr>
      </w:pPr>
      <w:r w:rsidRPr="00806D24">
        <w:rPr>
          <w:lang w:val="en-US"/>
        </w:rPr>
        <w:t xml:space="preserve">Whether the audit report and any other available information supports suspension or termination of research in order to protect human participants or others </w:t>
      </w:r>
    </w:p>
    <w:p w14:paraId="14FB5600" w14:textId="77777777" w:rsidR="00345FAF" w:rsidRPr="00806D24" w:rsidRDefault="004922D7">
      <w:pPr>
        <w:numPr>
          <w:ilvl w:val="0"/>
          <w:numId w:val="1"/>
        </w:numPr>
        <w:ind w:hanging="360"/>
        <w:rPr>
          <w:lang w:val="en-US"/>
        </w:rPr>
      </w:pPr>
      <w:r w:rsidRPr="00806D24">
        <w:rPr>
          <w:lang w:val="en-US"/>
        </w:rPr>
        <w:t xml:space="preserve">Additional actions to protect the rights and welfare of currently enrolled participants </w:t>
      </w:r>
    </w:p>
    <w:p w14:paraId="091EFF6B" w14:textId="77777777" w:rsidR="00345FAF" w:rsidRPr="00806D24" w:rsidRDefault="004922D7">
      <w:pPr>
        <w:numPr>
          <w:ilvl w:val="0"/>
          <w:numId w:val="1"/>
        </w:numPr>
        <w:ind w:hanging="360"/>
        <w:rPr>
          <w:lang w:val="en-US"/>
        </w:rPr>
      </w:pPr>
      <w:r w:rsidRPr="00806D24">
        <w:rPr>
          <w:lang w:val="en-US"/>
        </w:rPr>
        <w:t xml:space="preserve">Whether procedures for withdrawal of enrolled participants account for their rights and welfare </w:t>
      </w:r>
    </w:p>
    <w:p w14:paraId="05394EF1" w14:textId="77777777" w:rsidR="00345FAF" w:rsidRPr="00806D24" w:rsidRDefault="004922D7">
      <w:pPr>
        <w:numPr>
          <w:ilvl w:val="0"/>
          <w:numId w:val="1"/>
        </w:numPr>
        <w:ind w:hanging="360"/>
        <w:rPr>
          <w:lang w:val="en-US"/>
        </w:rPr>
      </w:pPr>
      <w:r w:rsidRPr="00806D24">
        <w:rPr>
          <w:lang w:val="en-US"/>
        </w:rPr>
        <w:t xml:space="preserve">Whether participants should be informed of the noncompliance and/or any of the corrective actions </w:t>
      </w:r>
    </w:p>
    <w:p w14:paraId="02962755" w14:textId="77777777" w:rsidR="00345FAF" w:rsidRPr="00806D24" w:rsidRDefault="004922D7">
      <w:pPr>
        <w:spacing w:after="0" w:line="259" w:lineRule="auto"/>
        <w:ind w:left="0" w:firstLine="0"/>
        <w:rPr>
          <w:lang w:val="en-US"/>
        </w:rPr>
      </w:pPr>
      <w:r w:rsidRPr="00806D24">
        <w:rPr>
          <w:lang w:val="en-US"/>
        </w:rPr>
        <w:t xml:space="preserve"> </w:t>
      </w:r>
    </w:p>
    <w:p w14:paraId="556F88B2" w14:textId="77777777" w:rsidR="00345FAF" w:rsidRPr="00806D24" w:rsidRDefault="004922D7">
      <w:pPr>
        <w:numPr>
          <w:ilvl w:val="1"/>
          <w:numId w:val="2"/>
        </w:numPr>
        <w:ind w:hanging="432"/>
        <w:rPr>
          <w:lang w:val="en-US"/>
        </w:rPr>
      </w:pPr>
      <w:r w:rsidRPr="00806D24">
        <w:rPr>
          <w:lang w:val="en-US"/>
        </w:rPr>
        <w:t xml:space="preserve">The IRB may invite the Protocol PI to a portion of the meeting to answer questions and to discuss the issue of noncompliance. If the Protocol PI requests, or is requested, to be present at the IRB meeting, he or she </w:t>
      </w:r>
      <w:proofErr w:type="gramStart"/>
      <w:r w:rsidRPr="00806D24">
        <w:rPr>
          <w:lang w:val="en-US"/>
        </w:rPr>
        <w:t>may be accompanied</w:t>
      </w:r>
      <w:proofErr w:type="gramEnd"/>
      <w:r w:rsidRPr="00806D24">
        <w:rPr>
          <w:lang w:val="en-US"/>
        </w:rPr>
        <w:t xml:space="preserve"> by a faculty representative, legal counsel, or </w:t>
      </w:r>
      <w:r w:rsidRPr="00806D24">
        <w:rPr>
          <w:lang w:val="en-US"/>
        </w:rPr>
        <w:lastRenderedPageBreak/>
        <w:t xml:space="preserve">another member of his or her department. The role of these individuals is limited to providing information and support to the Protocol PI; they will not participate in the discussion between the Protocol PI and the IRB. </w:t>
      </w:r>
      <w:r w:rsidRPr="00806D24">
        <w:rPr>
          <w:b/>
          <w:lang w:val="en-US"/>
        </w:rPr>
        <w:t xml:space="preserve"> </w:t>
      </w:r>
    </w:p>
    <w:p w14:paraId="32DC03F0" w14:textId="77777777" w:rsidR="00345FAF" w:rsidRPr="00806D24" w:rsidRDefault="004922D7">
      <w:pPr>
        <w:spacing w:after="0" w:line="259" w:lineRule="auto"/>
        <w:ind w:left="0" w:firstLine="0"/>
        <w:rPr>
          <w:lang w:val="en-US"/>
        </w:rPr>
      </w:pPr>
      <w:r w:rsidRPr="00806D24">
        <w:rPr>
          <w:b/>
          <w:lang w:val="en-US"/>
        </w:rPr>
        <w:t xml:space="preserve"> </w:t>
      </w:r>
    </w:p>
    <w:p w14:paraId="3D8FCE8D" w14:textId="184AF353" w:rsidR="00345FAF" w:rsidRPr="002E34D9" w:rsidRDefault="004922D7">
      <w:pPr>
        <w:numPr>
          <w:ilvl w:val="1"/>
          <w:numId w:val="2"/>
        </w:numPr>
        <w:ind w:hanging="432"/>
        <w:rPr>
          <w:lang w:val="en-US"/>
        </w:rPr>
      </w:pPr>
      <w:r w:rsidRPr="00806D24">
        <w:rPr>
          <w:lang w:val="en-US"/>
        </w:rPr>
        <w:t xml:space="preserve">The Protocol PI must implement the corrective plan within the required timeframe. </w:t>
      </w:r>
      <w:r w:rsidR="005D36F3">
        <w:rPr>
          <w:lang w:val="en-US"/>
        </w:rPr>
        <w:t>IRB</w:t>
      </w:r>
      <w:r w:rsidRPr="00806D24">
        <w:rPr>
          <w:lang w:val="en-US"/>
        </w:rPr>
        <w:t xml:space="preserve"> will monitor the Protocol PI’s implementation of the corrective plan. A failure to implement the corrective plan on time will be reported to the IRB Chair for further action, including initiation of procedures for suspension or termination of IRB approval of the research protocol, in accordance with </w:t>
      </w:r>
      <w:hyperlink r:id="rId36">
        <w:r w:rsidRPr="002E34D9">
          <w:rPr>
            <w:color w:val="0000FF"/>
            <w:lang w:val="en-US"/>
          </w:rPr>
          <w:t>SOP 6: Suspensions and Terminations of</w:t>
        </w:r>
      </w:hyperlink>
      <w:hyperlink r:id="rId37">
        <w:r w:rsidRPr="002E34D9">
          <w:rPr>
            <w:color w:val="0000FF"/>
            <w:lang w:val="en-US"/>
          </w:rPr>
          <w:t xml:space="preserve"> </w:t>
        </w:r>
      </w:hyperlink>
      <w:hyperlink r:id="rId38">
        <w:r w:rsidRPr="002E34D9">
          <w:rPr>
            <w:color w:val="0000FF"/>
            <w:lang w:val="en-US"/>
          </w:rPr>
          <w:t>IRB Approval of Research Protocols</w:t>
        </w:r>
      </w:hyperlink>
      <w:hyperlink r:id="rId39">
        <w:r w:rsidRPr="002E34D9">
          <w:rPr>
            <w:lang w:val="en-US"/>
          </w:rPr>
          <w:t>.</w:t>
        </w:r>
      </w:hyperlink>
      <w:r w:rsidRPr="002E34D9">
        <w:rPr>
          <w:lang w:val="en-US"/>
        </w:rPr>
        <w:t xml:space="preserve">  </w:t>
      </w:r>
      <w:r w:rsidRPr="002E34D9">
        <w:rPr>
          <w:b/>
          <w:lang w:val="en-US"/>
        </w:rPr>
        <w:t xml:space="preserve"> </w:t>
      </w:r>
    </w:p>
    <w:p w14:paraId="50F3D22F" w14:textId="77777777" w:rsidR="00345FAF" w:rsidRPr="00806D24" w:rsidRDefault="004922D7">
      <w:pPr>
        <w:spacing w:after="0" w:line="259" w:lineRule="auto"/>
        <w:ind w:left="0" w:firstLine="0"/>
        <w:rPr>
          <w:lang w:val="en-US"/>
        </w:rPr>
      </w:pPr>
      <w:r w:rsidRPr="00806D24">
        <w:rPr>
          <w:b/>
          <w:lang w:val="en-US"/>
        </w:rPr>
        <w:t xml:space="preserve"> </w:t>
      </w:r>
    </w:p>
    <w:p w14:paraId="34D3428C" w14:textId="4A4E4455" w:rsidR="00345FAF" w:rsidRPr="00806D24" w:rsidRDefault="004922D7">
      <w:pPr>
        <w:numPr>
          <w:ilvl w:val="1"/>
          <w:numId w:val="2"/>
        </w:numPr>
        <w:ind w:hanging="432"/>
        <w:rPr>
          <w:lang w:val="en-US"/>
        </w:rPr>
      </w:pPr>
      <w:r w:rsidRPr="00806D24">
        <w:rPr>
          <w:lang w:val="en-US"/>
        </w:rPr>
        <w:t xml:space="preserve">Upon full implementation of the corrective plan, </w:t>
      </w:r>
      <w:r w:rsidR="005D36F3">
        <w:rPr>
          <w:lang w:val="en-US"/>
        </w:rPr>
        <w:t>PI</w:t>
      </w:r>
      <w:r w:rsidRPr="00806D24">
        <w:rPr>
          <w:lang w:val="en-US"/>
        </w:rPr>
        <w:t xml:space="preserve"> will draft a final noncompliance report for discussion by the IRB at the next available meeting. After the report is finalized and the </w:t>
      </w:r>
      <w:r w:rsidR="004B264D">
        <w:rPr>
          <w:lang w:val="en-US"/>
        </w:rPr>
        <w:t>IRB</w:t>
      </w:r>
      <w:r w:rsidRPr="00806D24">
        <w:rPr>
          <w:lang w:val="en-US"/>
        </w:rPr>
        <w:t xml:space="preserve"> will distribute this report to the following parties:</w:t>
      </w:r>
      <w:r w:rsidRPr="00806D24">
        <w:rPr>
          <w:b/>
          <w:lang w:val="en-US"/>
        </w:rPr>
        <w:t xml:space="preserve"> </w:t>
      </w:r>
    </w:p>
    <w:p w14:paraId="27ACB6CC" w14:textId="77777777" w:rsidR="00345FAF" w:rsidRPr="00806D24" w:rsidRDefault="004922D7">
      <w:pPr>
        <w:spacing w:after="0" w:line="259" w:lineRule="auto"/>
        <w:ind w:left="0" w:firstLine="0"/>
        <w:rPr>
          <w:lang w:val="en-US"/>
        </w:rPr>
      </w:pPr>
      <w:r w:rsidRPr="00806D24">
        <w:rPr>
          <w:b/>
          <w:lang w:val="en-US"/>
        </w:rPr>
        <w:t xml:space="preserve"> </w:t>
      </w:r>
    </w:p>
    <w:p w14:paraId="27ED83F5" w14:textId="77777777" w:rsidR="00345FAF" w:rsidRDefault="004922D7">
      <w:pPr>
        <w:numPr>
          <w:ilvl w:val="0"/>
          <w:numId w:val="3"/>
        </w:numPr>
        <w:ind w:hanging="360"/>
      </w:pPr>
      <w:proofErr w:type="spellStart"/>
      <w:r>
        <w:t>Protocol</w:t>
      </w:r>
      <w:proofErr w:type="spellEnd"/>
      <w:r>
        <w:t xml:space="preserve"> PI </w:t>
      </w:r>
    </w:p>
    <w:p w14:paraId="5DEC0B4B" w14:textId="77777777" w:rsidR="00345FAF" w:rsidRDefault="004922D7">
      <w:pPr>
        <w:numPr>
          <w:ilvl w:val="0"/>
          <w:numId w:val="3"/>
        </w:numPr>
        <w:ind w:hanging="360"/>
      </w:pPr>
      <w:proofErr w:type="spellStart"/>
      <w:r>
        <w:t>Institutional</w:t>
      </w:r>
      <w:proofErr w:type="spellEnd"/>
      <w:r>
        <w:t xml:space="preserve"> </w:t>
      </w:r>
      <w:proofErr w:type="spellStart"/>
      <w:r>
        <w:t>Official</w:t>
      </w:r>
      <w:proofErr w:type="spellEnd"/>
      <w:r>
        <w:t xml:space="preserve"> </w:t>
      </w:r>
    </w:p>
    <w:p w14:paraId="437A2C6A" w14:textId="5F429383" w:rsidR="00345FAF" w:rsidRPr="00806D24" w:rsidRDefault="004922D7">
      <w:pPr>
        <w:numPr>
          <w:ilvl w:val="0"/>
          <w:numId w:val="3"/>
        </w:numPr>
        <w:spacing w:after="34"/>
        <w:ind w:hanging="360"/>
        <w:rPr>
          <w:lang w:val="en-US"/>
        </w:rPr>
      </w:pPr>
      <w:r w:rsidRPr="00806D24">
        <w:rPr>
          <w:lang w:val="en-US"/>
        </w:rPr>
        <w:t>Department Chair, Cent</w:t>
      </w:r>
      <w:r w:rsidR="000E3A60">
        <w:rPr>
          <w:lang w:val="en-US"/>
        </w:rPr>
        <w:t>er Director, and/or</w:t>
      </w:r>
      <w:r w:rsidRPr="00806D24">
        <w:rPr>
          <w:lang w:val="en-US"/>
        </w:rPr>
        <w:t xml:space="preserve"> Dean of the Protocol PI </w:t>
      </w:r>
    </w:p>
    <w:p w14:paraId="4106B520" w14:textId="051963A0" w:rsidR="00345FAF" w:rsidRPr="00806D24" w:rsidRDefault="00674466">
      <w:pPr>
        <w:numPr>
          <w:ilvl w:val="0"/>
          <w:numId w:val="3"/>
        </w:numPr>
        <w:ind w:hanging="360"/>
        <w:rPr>
          <w:lang w:val="en-US"/>
        </w:rPr>
      </w:pPr>
      <w:r>
        <w:rPr>
          <w:lang w:val="en-US"/>
        </w:rPr>
        <w:t>CCC-UPR</w:t>
      </w:r>
      <w:r w:rsidR="004922D7" w:rsidRPr="00806D24">
        <w:rPr>
          <w:lang w:val="en-US"/>
        </w:rPr>
        <w:t xml:space="preserve">’s Office of Sponsored Programs, when applicable </w:t>
      </w:r>
    </w:p>
    <w:p w14:paraId="395F6591" w14:textId="77777777" w:rsidR="00345FAF" w:rsidRDefault="004922D7">
      <w:pPr>
        <w:numPr>
          <w:ilvl w:val="0"/>
          <w:numId w:val="3"/>
        </w:numPr>
        <w:ind w:hanging="360"/>
      </w:pPr>
      <w:proofErr w:type="spellStart"/>
      <w:r>
        <w:t>Sponsoring</w:t>
      </w:r>
      <w:proofErr w:type="spellEnd"/>
      <w:r>
        <w:t xml:space="preserve"> </w:t>
      </w:r>
      <w:proofErr w:type="spellStart"/>
      <w:r>
        <w:t>agency</w:t>
      </w:r>
      <w:proofErr w:type="spellEnd"/>
      <w:r>
        <w:t xml:space="preserve">, </w:t>
      </w:r>
      <w:proofErr w:type="spellStart"/>
      <w:r>
        <w:t>when</w:t>
      </w:r>
      <w:proofErr w:type="spellEnd"/>
      <w:r>
        <w:t xml:space="preserve"> </w:t>
      </w:r>
      <w:proofErr w:type="spellStart"/>
      <w:r>
        <w:t>applicable</w:t>
      </w:r>
      <w:proofErr w:type="spellEnd"/>
      <w:r>
        <w:t xml:space="preserve"> </w:t>
      </w:r>
    </w:p>
    <w:p w14:paraId="1BC83675" w14:textId="77777777" w:rsidR="00345FAF" w:rsidRDefault="004922D7">
      <w:pPr>
        <w:numPr>
          <w:ilvl w:val="0"/>
          <w:numId w:val="3"/>
        </w:numPr>
        <w:ind w:hanging="360"/>
      </w:pPr>
      <w:r>
        <w:t xml:space="preserve">OHRP, </w:t>
      </w:r>
      <w:proofErr w:type="spellStart"/>
      <w:r>
        <w:t>when</w:t>
      </w:r>
      <w:proofErr w:type="spellEnd"/>
      <w:r>
        <w:t xml:space="preserve"> </w:t>
      </w:r>
      <w:proofErr w:type="spellStart"/>
      <w:r>
        <w:t>applicable</w:t>
      </w:r>
      <w:proofErr w:type="spellEnd"/>
      <w:r>
        <w:t xml:space="preserve"> </w:t>
      </w:r>
    </w:p>
    <w:p w14:paraId="6ADDE49E" w14:textId="77777777" w:rsidR="00345FAF" w:rsidRDefault="004922D7">
      <w:pPr>
        <w:spacing w:after="0" w:line="259" w:lineRule="auto"/>
        <w:ind w:left="720" w:firstLine="0"/>
      </w:pPr>
      <w:r>
        <w:rPr>
          <w:b/>
        </w:rPr>
        <w:t xml:space="preserve"> </w:t>
      </w:r>
    </w:p>
    <w:p w14:paraId="5D98717D" w14:textId="3F3620A6" w:rsidR="00345FAF" w:rsidRPr="00806D24" w:rsidRDefault="004922D7">
      <w:pPr>
        <w:ind w:left="792" w:hanging="432"/>
        <w:rPr>
          <w:lang w:val="en-US"/>
        </w:rPr>
      </w:pPr>
      <w:r w:rsidRPr="00806D24">
        <w:rPr>
          <w:b/>
          <w:lang w:val="en-US"/>
        </w:rPr>
        <w:t>7.8.</w:t>
      </w:r>
      <w:r w:rsidRPr="00806D24">
        <w:rPr>
          <w:rFonts w:ascii="Arial" w:eastAsia="Arial" w:hAnsi="Arial" w:cs="Arial"/>
          <w:b/>
          <w:lang w:val="en-US"/>
        </w:rPr>
        <w:t xml:space="preserve"> </w:t>
      </w:r>
      <w:r w:rsidRPr="00806D24">
        <w:rPr>
          <w:lang w:val="en-US"/>
        </w:rPr>
        <w:t>While the IRB has the authority to take appropriate action concern</w:t>
      </w:r>
      <w:r w:rsidR="004B264D">
        <w:rPr>
          <w:lang w:val="en-US"/>
        </w:rPr>
        <w:t>ing a research protocol,</w:t>
      </w:r>
      <w:r w:rsidRPr="00806D24">
        <w:rPr>
          <w:lang w:val="en-US"/>
        </w:rPr>
        <w:t xml:space="preserve"> the IRB </w:t>
      </w:r>
      <w:r w:rsidR="004B264D">
        <w:rPr>
          <w:lang w:val="en-US"/>
        </w:rPr>
        <w:t>does not</w:t>
      </w:r>
      <w:r w:rsidRPr="00806D24">
        <w:rPr>
          <w:lang w:val="en-US"/>
        </w:rPr>
        <w:t xml:space="preserve"> ha</w:t>
      </w:r>
      <w:r w:rsidR="004B264D">
        <w:rPr>
          <w:lang w:val="en-US"/>
        </w:rPr>
        <w:t>ve</w:t>
      </w:r>
      <w:r w:rsidRPr="00806D24">
        <w:rPr>
          <w:lang w:val="en-US"/>
        </w:rPr>
        <w:t xml:space="preserve"> the authority to take disciplinary action against any individual relating to a finding of confirmed noncompliance. Instead, disciplinary action shall be the responsibility of t</w:t>
      </w:r>
      <w:r w:rsidR="004B264D">
        <w:rPr>
          <w:lang w:val="en-US"/>
        </w:rPr>
        <w:t>he institution. The Chair of IRB</w:t>
      </w:r>
      <w:r w:rsidRPr="00806D24">
        <w:rPr>
          <w:lang w:val="en-US"/>
        </w:rPr>
        <w:t xml:space="preserve"> shall report any termination of research to the appropriate institutional officials</w:t>
      </w:r>
      <w:r w:rsidR="004B264D">
        <w:rPr>
          <w:lang w:val="en-US"/>
        </w:rPr>
        <w:t>.</w:t>
      </w:r>
      <w:r w:rsidRPr="00806D24">
        <w:rPr>
          <w:b/>
          <w:lang w:val="en-US"/>
        </w:rPr>
        <w:t xml:space="preserve"> </w:t>
      </w:r>
    </w:p>
    <w:p w14:paraId="3C46BE6C" w14:textId="77777777" w:rsidR="00345FAF" w:rsidRPr="00806D24" w:rsidRDefault="004922D7">
      <w:pPr>
        <w:spacing w:after="0" w:line="259" w:lineRule="auto"/>
        <w:ind w:left="360" w:firstLine="0"/>
        <w:rPr>
          <w:lang w:val="en-US"/>
        </w:rPr>
      </w:pPr>
      <w:r w:rsidRPr="00806D24">
        <w:rPr>
          <w:b/>
          <w:lang w:val="en-US"/>
        </w:rPr>
        <w:t xml:space="preserve"> </w:t>
      </w:r>
    </w:p>
    <w:p w14:paraId="0104124D" w14:textId="77777777" w:rsidR="00345FAF" w:rsidRPr="00806D24" w:rsidRDefault="004922D7">
      <w:pPr>
        <w:pStyle w:val="Heading1"/>
        <w:ind w:left="345" w:hanging="360"/>
        <w:rPr>
          <w:lang w:val="en-US"/>
        </w:rPr>
      </w:pPr>
      <w:r w:rsidRPr="00806D24">
        <w:rPr>
          <w:lang w:val="en-US"/>
        </w:rPr>
        <w:t xml:space="preserve">Corrective Actions in Response to Noncompliance </w:t>
      </w:r>
    </w:p>
    <w:p w14:paraId="143EB804" w14:textId="77777777" w:rsidR="00345FAF" w:rsidRPr="00806D24" w:rsidRDefault="004922D7">
      <w:pPr>
        <w:spacing w:after="0" w:line="259" w:lineRule="auto"/>
        <w:ind w:left="0" w:firstLine="0"/>
        <w:rPr>
          <w:lang w:val="en-US"/>
        </w:rPr>
      </w:pPr>
      <w:r w:rsidRPr="00806D24">
        <w:rPr>
          <w:b/>
          <w:lang w:val="en-US"/>
        </w:rPr>
        <w:t xml:space="preserve"> </w:t>
      </w:r>
    </w:p>
    <w:p w14:paraId="45263317" w14:textId="5137F520" w:rsidR="00345FAF" w:rsidRPr="00806D24" w:rsidRDefault="004922D7">
      <w:pPr>
        <w:ind w:left="792" w:hanging="432"/>
        <w:rPr>
          <w:lang w:val="en-US"/>
        </w:rPr>
      </w:pPr>
      <w:r w:rsidRPr="00806D24">
        <w:rPr>
          <w:b/>
          <w:lang w:val="en-US"/>
        </w:rPr>
        <w:t>8.1.</w:t>
      </w:r>
      <w:r w:rsidRPr="00806D24">
        <w:rPr>
          <w:rFonts w:ascii="Arial" w:eastAsia="Arial" w:hAnsi="Arial" w:cs="Arial"/>
          <w:b/>
          <w:lang w:val="en-US"/>
        </w:rPr>
        <w:t xml:space="preserve"> </w:t>
      </w:r>
      <w:r w:rsidRPr="00806D24">
        <w:rPr>
          <w:lang w:val="en-US"/>
        </w:rPr>
        <w:t xml:space="preserve">The actions taken to correct noncompliance vary and depend on the nature and seriousness of the noncompliance. The IRB, in consultation with the </w:t>
      </w:r>
      <w:r w:rsidR="004B264D">
        <w:rPr>
          <w:lang w:val="en-US"/>
        </w:rPr>
        <w:t>Executive</w:t>
      </w:r>
      <w:r w:rsidRPr="00806D24">
        <w:rPr>
          <w:lang w:val="en-US"/>
        </w:rPr>
        <w:t>, may take any of the following actions:</w:t>
      </w:r>
      <w:r w:rsidRPr="00806D24">
        <w:rPr>
          <w:b/>
          <w:lang w:val="en-US"/>
        </w:rPr>
        <w:t xml:space="preserve"> </w:t>
      </w:r>
    </w:p>
    <w:p w14:paraId="6582E331" w14:textId="77777777" w:rsidR="00345FAF" w:rsidRPr="00806D24" w:rsidRDefault="004922D7">
      <w:pPr>
        <w:spacing w:after="0" w:line="259" w:lineRule="auto"/>
        <w:ind w:left="360" w:firstLine="0"/>
        <w:rPr>
          <w:lang w:val="en-US"/>
        </w:rPr>
      </w:pPr>
      <w:r w:rsidRPr="00806D24">
        <w:rPr>
          <w:b/>
          <w:lang w:val="en-US"/>
        </w:rPr>
        <w:t xml:space="preserve"> </w:t>
      </w:r>
    </w:p>
    <w:p w14:paraId="6952AB43" w14:textId="77777777" w:rsidR="00345FAF" w:rsidRPr="00806D24" w:rsidRDefault="004922D7">
      <w:pPr>
        <w:ind w:left="715"/>
        <w:rPr>
          <w:lang w:val="en-US"/>
        </w:rPr>
      </w:pPr>
      <w:r w:rsidRPr="00806D24">
        <w:rPr>
          <w:b/>
          <w:lang w:val="en-US"/>
        </w:rPr>
        <w:t>8.1.1.</w:t>
      </w:r>
      <w:r w:rsidRPr="00806D24">
        <w:rPr>
          <w:rFonts w:ascii="Arial" w:eastAsia="Arial" w:hAnsi="Arial" w:cs="Arial"/>
          <w:b/>
          <w:lang w:val="en-US"/>
        </w:rPr>
        <w:t xml:space="preserve"> </w:t>
      </w:r>
      <w:r w:rsidRPr="00806D24">
        <w:rPr>
          <w:lang w:val="en-US"/>
        </w:rPr>
        <w:t>Take no action</w:t>
      </w:r>
      <w:r w:rsidRPr="00806D24">
        <w:rPr>
          <w:b/>
          <w:lang w:val="en-US"/>
        </w:rPr>
        <w:t xml:space="preserve"> </w:t>
      </w:r>
    </w:p>
    <w:p w14:paraId="238108BA" w14:textId="77777777" w:rsidR="00345FAF" w:rsidRPr="00806D24" w:rsidRDefault="004922D7">
      <w:pPr>
        <w:ind w:left="715"/>
        <w:rPr>
          <w:lang w:val="en-US"/>
        </w:rPr>
      </w:pPr>
      <w:r w:rsidRPr="00806D24">
        <w:rPr>
          <w:b/>
          <w:lang w:val="en-US"/>
        </w:rPr>
        <w:t>8.1.2.</w:t>
      </w:r>
      <w:r w:rsidRPr="00806D24">
        <w:rPr>
          <w:rFonts w:ascii="Arial" w:eastAsia="Arial" w:hAnsi="Arial" w:cs="Arial"/>
          <w:b/>
          <w:lang w:val="en-US"/>
        </w:rPr>
        <w:t xml:space="preserve"> </w:t>
      </w:r>
      <w:r w:rsidRPr="00806D24">
        <w:rPr>
          <w:lang w:val="en-US"/>
        </w:rPr>
        <w:t>Request a protocol and/or consent form modification</w:t>
      </w:r>
      <w:r w:rsidRPr="00806D24">
        <w:rPr>
          <w:b/>
          <w:lang w:val="en-US"/>
        </w:rPr>
        <w:t xml:space="preserve"> </w:t>
      </w:r>
    </w:p>
    <w:p w14:paraId="283883D0" w14:textId="77777777" w:rsidR="00345FAF" w:rsidRPr="00806D24" w:rsidRDefault="004922D7">
      <w:pPr>
        <w:ind w:left="715"/>
        <w:rPr>
          <w:lang w:val="en-US"/>
        </w:rPr>
      </w:pPr>
      <w:r w:rsidRPr="00806D24">
        <w:rPr>
          <w:b/>
          <w:lang w:val="en-US"/>
        </w:rPr>
        <w:t>8.1.3.</w:t>
      </w:r>
      <w:r w:rsidRPr="00806D24">
        <w:rPr>
          <w:rFonts w:ascii="Arial" w:eastAsia="Arial" w:hAnsi="Arial" w:cs="Arial"/>
          <w:b/>
          <w:lang w:val="en-US"/>
        </w:rPr>
        <w:t xml:space="preserve"> </w:t>
      </w:r>
      <w:r w:rsidRPr="00806D24">
        <w:rPr>
          <w:lang w:val="en-US"/>
        </w:rPr>
        <w:t>Require that all participants be re-consented</w:t>
      </w:r>
      <w:r w:rsidRPr="00806D24">
        <w:rPr>
          <w:b/>
          <w:lang w:val="en-US"/>
        </w:rPr>
        <w:t xml:space="preserve"> </w:t>
      </w:r>
    </w:p>
    <w:p w14:paraId="1B259DE7" w14:textId="77777777" w:rsidR="00345FAF" w:rsidRPr="00806D24" w:rsidRDefault="004922D7">
      <w:pPr>
        <w:ind w:left="1209" w:hanging="504"/>
        <w:rPr>
          <w:lang w:val="en-US"/>
        </w:rPr>
      </w:pPr>
      <w:r w:rsidRPr="00806D24">
        <w:rPr>
          <w:b/>
          <w:lang w:val="en-US"/>
        </w:rPr>
        <w:t>8.1.4.</w:t>
      </w:r>
      <w:r w:rsidRPr="00806D24">
        <w:rPr>
          <w:rFonts w:ascii="Arial" w:eastAsia="Arial" w:hAnsi="Arial" w:cs="Arial"/>
          <w:b/>
          <w:lang w:val="en-US"/>
        </w:rPr>
        <w:t xml:space="preserve"> </w:t>
      </w:r>
      <w:r w:rsidRPr="00806D24">
        <w:rPr>
          <w:lang w:val="en-US"/>
        </w:rPr>
        <w:t xml:space="preserve">Require previous participants to </w:t>
      </w:r>
      <w:proofErr w:type="gramStart"/>
      <w:r w:rsidRPr="00806D24">
        <w:rPr>
          <w:lang w:val="en-US"/>
        </w:rPr>
        <w:t>be informed</w:t>
      </w:r>
      <w:proofErr w:type="gramEnd"/>
      <w:r w:rsidRPr="00806D24">
        <w:rPr>
          <w:lang w:val="en-US"/>
        </w:rPr>
        <w:t xml:space="preserve"> of any changes to the protocol and/or consent procedures</w:t>
      </w:r>
      <w:r w:rsidRPr="00806D24">
        <w:rPr>
          <w:b/>
          <w:lang w:val="en-US"/>
        </w:rPr>
        <w:t xml:space="preserve"> </w:t>
      </w:r>
    </w:p>
    <w:p w14:paraId="0D276A82" w14:textId="77777777" w:rsidR="00345FAF" w:rsidRPr="00806D24" w:rsidRDefault="004922D7">
      <w:pPr>
        <w:ind w:left="715"/>
        <w:rPr>
          <w:lang w:val="en-US"/>
        </w:rPr>
      </w:pPr>
      <w:r w:rsidRPr="00806D24">
        <w:rPr>
          <w:b/>
          <w:lang w:val="en-US"/>
        </w:rPr>
        <w:t>8.1.5.</w:t>
      </w:r>
      <w:r w:rsidRPr="00806D24">
        <w:rPr>
          <w:rFonts w:ascii="Arial" w:eastAsia="Arial" w:hAnsi="Arial" w:cs="Arial"/>
          <w:b/>
          <w:lang w:val="en-US"/>
        </w:rPr>
        <w:t xml:space="preserve"> </w:t>
      </w:r>
      <w:r w:rsidRPr="00806D24">
        <w:rPr>
          <w:lang w:val="en-US"/>
        </w:rPr>
        <w:t>Require observation of consent procedures</w:t>
      </w:r>
      <w:r w:rsidRPr="00806D24">
        <w:rPr>
          <w:b/>
          <w:lang w:val="en-US"/>
        </w:rPr>
        <w:t xml:space="preserve"> </w:t>
      </w:r>
    </w:p>
    <w:p w14:paraId="3C2DAA8F" w14:textId="77777777" w:rsidR="00345FAF" w:rsidRPr="00806D24" w:rsidRDefault="004922D7">
      <w:pPr>
        <w:ind w:left="715"/>
        <w:rPr>
          <w:lang w:val="en-US"/>
        </w:rPr>
      </w:pPr>
      <w:r w:rsidRPr="00806D24">
        <w:rPr>
          <w:b/>
          <w:lang w:val="en-US"/>
        </w:rPr>
        <w:t>8.1.6.</w:t>
      </w:r>
      <w:r w:rsidRPr="00806D24">
        <w:rPr>
          <w:rFonts w:ascii="Arial" w:eastAsia="Arial" w:hAnsi="Arial" w:cs="Arial"/>
          <w:b/>
          <w:lang w:val="en-US"/>
        </w:rPr>
        <w:t xml:space="preserve"> </w:t>
      </w:r>
      <w:r w:rsidRPr="00806D24">
        <w:rPr>
          <w:lang w:val="en-US"/>
        </w:rPr>
        <w:t xml:space="preserve">Require </w:t>
      </w:r>
      <w:proofErr w:type="gramStart"/>
      <w:r w:rsidRPr="00806D24">
        <w:rPr>
          <w:lang w:val="en-US"/>
        </w:rPr>
        <w:t>more frequent review of the conduct of the research</w:t>
      </w:r>
      <w:proofErr w:type="gramEnd"/>
      <w:r w:rsidRPr="00806D24">
        <w:rPr>
          <w:b/>
          <w:lang w:val="en-US"/>
        </w:rPr>
        <w:t xml:space="preserve"> </w:t>
      </w:r>
    </w:p>
    <w:p w14:paraId="3EF505AB" w14:textId="77777777" w:rsidR="00345FAF" w:rsidRPr="00806D24" w:rsidRDefault="004922D7">
      <w:pPr>
        <w:ind w:left="715"/>
        <w:rPr>
          <w:lang w:val="en-US"/>
        </w:rPr>
      </w:pPr>
      <w:r w:rsidRPr="00806D24">
        <w:rPr>
          <w:b/>
          <w:lang w:val="en-US"/>
        </w:rPr>
        <w:t>8.1.7.</w:t>
      </w:r>
      <w:r w:rsidRPr="00806D24">
        <w:rPr>
          <w:rFonts w:ascii="Arial" w:eastAsia="Arial" w:hAnsi="Arial" w:cs="Arial"/>
          <w:b/>
          <w:lang w:val="en-US"/>
        </w:rPr>
        <w:t xml:space="preserve"> </w:t>
      </w:r>
      <w:r w:rsidRPr="00806D24">
        <w:rPr>
          <w:lang w:val="en-US"/>
        </w:rPr>
        <w:t>Require additional training for the research team</w:t>
      </w:r>
      <w:r w:rsidRPr="00806D24">
        <w:rPr>
          <w:b/>
          <w:lang w:val="en-US"/>
        </w:rPr>
        <w:t xml:space="preserve"> </w:t>
      </w:r>
    </w:p>
    <w:p w14:paraId="58E7432B" w14:textId="77777777" w:rsidR="00345FAF" w:rsidRPr="00806D24" w:rsidRDefault="004922D7">
      <w:pPr>
        <w:ind w:left="715"/>
        <w:rPr>
          <w:lang w:val="en-US"/>
        </w:rPr>
      </w:pPr>
      <w:r w:rsidRPr="00806D24">
        <w:rPr>
          <w:b/>
          <w:lang w:val="en-US"/>
        </w:rPr>
        <w:t>8.1.8.</w:t>
      </w:r>
      <w:r w:rsidRPr="00806D24">
        <w:rPr>
          <w:rFonts w:ascii="Arial" w:eastAsia="Arial" w:hAnsi="Arial" w:cs="Arial"/>
          <w:b/>
          <w:lang w:val="en-US"/>
        </w:rPr>
        <w:t xml:space="preserve"> </w:t>
      </w:r>
      <w:r w:rsidRPr="00806D24">
        <w:rPr>
          <w:lang w:val="en-US"/>
        </w:rPr>
        <w:t>Require follow-up audit(s)</w:t>
      </w:r>
      <w:r w:rsidRPr="00806D24">
        <w:rPr>
          <w:b/>
          <w:lang w:val="en-US"/>
        </w:rPr>
        <w:t xml:space="preserve"> </w:t>
      </w:r>
    </w:p>
    <w:p w14:paraId="3B089E7D" w14:textId="77777777" w:rsidR="00345FAF" w:rsidRPr="00806D24" w:rsidRDefault="004922D7">
      <w:pPr>
        <w:spacing w:after="0"/>
        <w:ind w:left="1219" w:hanging="514"/>
        <w:rPr>
          <w:lang w:val="en-US"/>
        </w:rPr>
      </w:pPr>
      <w:r w:rsidRPr="00806D24">
        <w:rPr>
          <w:b/>
          <w:lang w:val="en-US"/>
        </w:rPr>
        <w:lastRenderedPageBreak/>
        <w:t>8.1.9.</w:t>
      </w:r>
      <w:r w:rsidRPr="00806D24">
        <w:rPr>
          <w:rFonts w:ascii="Arial" w:eastAsia="Arial" w:hAnsi="Arial" w:cs="Arial"/>
          <w:b/>
          <w:lang w:val="en-US"/>
        </w:rPr>
        <w:t xml:space="preserve"> </w:t>
      </w:r>
      <w:r w:rsidRPr="00806D24">
        <w:rPr>
          <w:lang w:val="en-US"/>
        </w:rPr>
        <w:t xml:space="preserve">Suspend the research: </w:t>
      </w:r>
      <w:r w:rsidRPr="00806D24">
        <w:rPr>
          <w:i/>
          <w:lang w:val="en-US"/>
        </w:rPr>
        <w:t xml:space="preserve">see </w:t>
      </w:r>
      <w:hyperlink r:id="rId40">
        <w:r w:rsidRPr="002E34D9">
          <w:rPr>
            <w:color w:val="0000FF"/>
            <w:lang w:val="en-US"/>
          </w:rPr>
          <w:t>SOP 6: Suspensions and Terminations of IRB Approval of</w:t>
        </w:r>
      </w:hyperlink>
      <w:hyperlink r:id="rId41">
        <w:r w:rsidRPr="002E34D9">
          <w:rPr>
            <w:color w:val="0000FF"/>
            <w:lang w:val="en-US"/>
          </w:rPr>
          <w:t xml:space="preserve"> </w:t>
        </w:r>
      </w:hyperlink>
      <w:hyperlink r:id="rId42">
        <w:r w:rsidRPr="002E34D9">
          <w:rPr>
            <w:color w:val="0000FF"/>
            <w:lang w:val="en-US"/>
          </w:rPr>
          <w:t>Research Protocols</w:t>
        </w:r>
      </w:hyperlink>
      <w:hyperlink r:id="rId43">
        <w:r w:rsidRPr="00806D24">
          <w:rPr>
            <w:lang w:val="en-US"/>
          </w:rPr>
          <w:t>,</w:t>
        </w:r>
      </w:hyperlink>
      <w:r w:rsidRPr="00806D24">
        <w:rPr>
          <w:lang w:val="en-US"/>
        </w:rPr>
        <w:t xml:space="preserve"> Sections 8.1, 8.2, 8.3</w:t>
      </w:r>
      <w:r w:rsidRPr="00806D24">
        <w:rPr>
          <w:b/>
          <w:lang w:val="en-US"/>
        </w:rPr>
        <w:t xml:space="preserve"> </w:t>
      </w:r>
    </w:p>
    <w:p w14:paraId="54B50164" w14:textId="77777777" w:rsidR="00345FAF" w:rsidRPr="00806D24" w:rsidRDefault="004922D7">
      <w:pPr>
        <w:spacing w:after="0"/>
        <w:ind w:left="1219" w:hanging="514"/>
        <w:rPr>
          <w:lang w:val="en-US"/>
        </w:rPr>
      </w:pPr>
      <w:r w:rsidRPr="00806D24">
        <w:rPr>
          <w:b/>
          <w:lang w:val="en-US"/>
        </w:rPr>
        <w:t>8.1.10.</w:t>
      </w:r>
      <w:r w:rsidRPr="00806D24">
        <w:rPr>
          <w:rFonts w:ascii="Arial" w:eastAsia="Arial" w:hAnsi="Arial" w:cs="Arial"/>
          <w:b/>
          <w:lang w:val="en-US"/>
        </w:rPr>
        <w:t xml:space="preserve"> </w:t>
      </w:r>
      <w:r w:rsidRPr="00806D24">
        <w:rPr>
          <w:lang w:val="en-US"/>
        </w:rPr>
        <w:t xml:space="preserve">Terminate the research: </w:t>
      </w:r>
      <w:r w:rsidRPr="00806D24">
        <w:rPr>
          <w:i/>
          <w:lang w:val="en-US"/>
        </w:rPr>
        <w:t xml:space="preserve">see </w:t>
      </w:r>
      <w:hyperlink r:id="rId44">
        <w:r w:rsidRPr="002E34D9">
          <w:rPr>
            <w:color w:val="0000FF"/>
            <w:lang w:val="en-US"/>
          </w:rPr>
          <w:t>SOP 6: Suspensions and Terminations of IRB Approval of</w:t>
        </w:r>
      </w:hyperlink>
      <w:hyperlink r:id="rId45">
        <w:r w:rsidRPr="002E34D9">
          <w:rPr>
            <w:color w:val="0000FF"/>
            <w:lang w:val="en-US"/>
          </w:rPr>
          <w:t xml:space="preserve"> </w:t>
        </w:r>
      </w:hyperlink>
      <w:hyperlink r:id="rId46">
        <w:r w:rsidRPr="002E34D9">
          <w:rPr>
            <w:color w:val="0000FF"/>
            <w:lang w:val="en-US"/>
          </w:rPr>
          <w:t>Research Protocols</w:t>
        </w:r>
      </w:hyperlink>
      <w:hyperlink r:id="rId47">
        <w:r w:rsidRPr="00806D24">
          <w:rPr>
            <w:lang w:val="en-US"/>
          </w:rPr>
          <w:t>,</w:t>
        </w:r>
      </w:hyperlink>
      <w:r w:rsidRPr="00806D24">
        <w:rPr>
          <w:lang w:val="en-US"/>
        </w:rPr>
        <w:t xml:space="preserve"> Sections, 8.1, 8.4, 8.5</w:t>
      </w:r>
      <w:r w:rsidRPr="00806D24">
        <w:rPr>
          <w:b/>
          <w:lang w:val="en-US"/>
        </w:rPr>
        <w:t xml:space="preserve"> </w:t>
      </w:r>
    </w:p>
    <w:p w14:paraId="3F034D51" w14:textId="77777777" w:rsidR="00345FAF" w:rsidRPr="00806D24" w:rsidRDefault="004922D7">
      <w:pPr>
        <w:ind w:left="1209" w:hanging="504"/>
        <w:rPr>
          <w:lang w:val="en-US"/>
        </w:rPr>
      </w:pPr>
      <w:r w:rsidRPr="00806D24">
        <w:rPr>
          <w:b/>
          <w:lang w:val="en-US"/>
        </w:rPr>
        <w:t>8.1.11.</w:t>
      </w:r>
      <w:r w:rsidRPr="00806D24">
        <w:rPr>
          <w:rFonts w:ascii="Arial" w:eastAsia="Arial" w:hAnsi="Arial" w:cs="Arial"/>
          <w:b/>
          <w:lang w:val="en-US"/>
        </w:rPr>
        <w:t xml:space="preserve"> </w:t>
      </w:r>
      <w:r w:rsidRPr="00806D24">
        <w:rPr>
          <w:lang w:val="en-US"/>
        </w:rPr>
        <w:t>Refer issues to other institutional entities (</w:t>
      </w:r>
      <w:r w:rsidRPr="00806D24">
        <w:rPr>
          <w:i/>
          <w:lang w:val="en-US"/>
        </w:rPr>
        <w:t xml:space="preserve">e.g., </w:t>
      </w:r>
      <w:r w:rsidRPr="00806D24">
        <w:rPr>
          <w:lang w:val="en-US"/>
        </w:rPr>
        <w:t xml:space="preserve">Institutional Official, Dean, </w:t>
      </w:r>
      <w:proofErr w:type="gramStart"/>
      <w:r w:rsidRPr="00806D24">
        <w:rPr>
          <w:lang w:val="en-US"/>
        </w:rPr>
        <w:t>Legal</w:t>
      </w:r>
      <w:proofErr w:type="gramEnd"/>
      <w:r w:rsidRPr="00806D24">
        <w:rPr>
          <w:lang w:val="en-US"/>
        </w:rPr>
        <w:t xml:space="preserve"> Counsel)</w:t>
      </w:r>
      <w:r w:rsidRPr="00806D24">
        <w:rPr>
          <w:b/>
          <w:lang w:val="en-US"/>
        </w:rPr>
        <w:t xml:space="preserve"> </w:t>
      </w:r>
    </w:p>
    <w:p w14:paraId="7CB9FD28" w14:textId="77777777" w:rsidR="00345FAF" w:rsidRPr="00806D24" w:rsidRDefault="004922D7">
      <w:pPr>
        <w:ind w:left="1209" w:hanging="504"/>
        <w:rPr>
          <w:lang w:val="en-US"/>
        </w:rPr>
      </w:pPr>
      <w:r w:rsidRPr="00806D24">
        <w:rPr>
          <w:b/>
          <w:lang w:val="en-US"/>
        </w:rPr>
        <w:t>8.1.12.</w:t>
      </w:r>
      <w:r w:rsidRPr="00806D24">
        <w:rPr>
          <w:rFonts w:ascii="Arial" w:eastAsia="Arial" w:hAnsi="Arial" w:cs="Arial"/>
          <w:b/>
          <w:lang w:val="en-US"/>
        </w:rPr>
        <w:t xml:space="preserve"> </w:t>
      </w:r>
      <w:r w:rsidRPr="00806D24">
        <w:rPr>
          <w:lang w:val="en-US"/>
        </w:rPr>
        <w:t>Any other action deemed appropriate by the IRB to protect the rights and welfare of research participants</w:t>
      </w:r>
      <w:r w:rsidRPr="00806D24">
        <w:rPr>
          <w:b/>
          <w:lang w:val="en-US"/>
        </w:rPr>
        <w:t xml:space="preserve"> </w:t>
      </w:r>
    </w:p>
    <w:p w14:paraId="0631D47B" w14:textId="77777777" w:rsidR="00345FAF" w:rsidRPr="00806D24" w:rsidRDefault="004922D7">
      <w:pPr>
        <w:spacing w:after="0" w:line="259" w:lineRule="auto"/>
        <w:ind w:left="0" w:firstLine="0"/>
        <w:rPr>
          <w:lang w:val="en-US"/>
        </w:rPr>
      </w:pPr>
      <w:r w:rsidRPr="00806D24">
        <w:rPr>
          <w:b/>
          <w:lang w:val="en-US"/>
        </w:rPr>
        <w:t xml:space="preserve"> </w:t>
      </w:r>
    </w:p>
    <w:p w14:paraId="40B12A5B" w14:textId="77777777" w:rsidR="00345FAF" w:rsidRPr="00806D24" w:rsidRDefault="004922D7">
      <w:pPr>
        <w:ind w:left="792" w:hanging="432"/>
        <w:rPr>
          <w:lang w:val="en-US"/>
        </w:rPr>
      </w:pPr>
      <w:r w:rsidRPr="00806D24">
        <w:rPr>
          <w:b/>
          <w:lang w:val="en-US"/>
        </w:rPr>
        <w:t>8.2.</w:t>
      </w:r>
      <w:r w:rsidRPr="00806D24">
        <w:rPr>
          <w:rFonts w:ascii="Arial" w:eastAsia="Arial" w:hAnsi="Arial" w:cs="Arial"/>
          <w:b/>
          <w:lang w:val="en-US"/>
        </w:rPr>
        <w:t xml:space="preserve"> </w:t>
      </w:r>
      <w:r w:rsidRPr="00806D24">
        <w:rPr>
          <w:lang w:val="en-US"/>
        </w:rPr>
        <w:t>Informed by any audit reports, corrective plans, and final noncompliance reports, the Senior IRB Administrator will develop and administer required and optional educational programs, as specified in corrective plans for the Protocol PI and for the research community generally.</w:t>
      </w:r>
      <w:r w:rsidRPr="00806D24">
        <w:rPr>
          <w:b/>
          <w:lang w:val="en-US"/>
        </w:rPr>
        <w:t xml:space="preserve"> </w:t>
      </w:r>
    </w:p>
    <w:p w14:paraId="67B2BD52" w14:textId="77777777" w:rsidR="00345FAF" w:rsidRPr="00806D24" w:rsidRDefault="004922D7">
      <w:pPr>
        <w:spacing w:after="0" w:line="259" w:lineRule="auto"/>
        <w:ind w:left="360" w:firstLine="0"/>
        <w:rPr>
          <w:lang w:val="en-US"/>
        </w:rPr>
      </w:pPr>
      <w:r w:rsidRPr="00806D24">
        <w:rPr>
          <w:b/>
          <w:lang w:val="en-US"/>
        </w:rPr>
        <w:t xml:space="preserve"> </w:t>
      </w:r>
    </w:p>
    <w:p w14:paraId="4F15F1F1" w14:textId="77777777" w:rsidR="00345FAF" w:rsidRPr="00806D24" w:rsidRDefault="004922D7">
      <w:pPr>
        <w:pStyle w:val="Heading1"/>
        <w:ind w:left="345" w:hanging="360"/>
        <w:rPr>
          <w:lang w:val="en-US"/>
        </w:rPr>
      </w:pPr>
      <w:r w:rsidRPr="00806D24">
        <w:rPr>
          <w:lang w:val="en-US"/>
        </w:rPr>
        <w:t xml:space="preserve">Documentation Relating to Reporting and Resolution of Noncompliance </w:t>
      </w:r>
    </w:p>
    <w:p w14:paraId="17EF8DC2" w14:textId="77777777" w:rsidR="00345FAF" w:rsidRPr="00806D24" w:rsidRDefault="004922D7">
      <w:pPr>
        <w:spacing w:after="0" w:line="259" w:lineRule="auto"/>
        <w:ind w:left="0" w:firstLine="0"/>
        <w:rPr>
          <w:lang w:val="en-US"/>
        </w:rPr>
      </w:pPr>
      <w:r w:rsidRPr="00806D24">
        <w:rPr>
          <w:b/>
          <w:lang w:val="en-US"/>
        </w:rPr>
        <w:t xml:space="preserve"> </w:t>
      </w:r>
    </w:p>
    <w:p w14:paraId="5C1E11D5" w14:textId="27B884FA" w:rsidR="00345FAF" w:rsidRPr="00806D24" w:rsidRDefault="004922D7">
      <w:pPr>
        <w:ind w:left="715"/>
        <w:rPr>
          <w:lang w:val="en-US"/>
        </w:rPr>
      </w:pPr>
      <w:r w:rsidRPr="00806D24">
        <w:rPr>
          <w:lang w:val="en-US"/>
        </w:rPr>
        <w:t xml:space="preserve">All documents relating to noncompliance </w:t>
      </w:r>
      <w:proofErr w:type="gramStart"/>
      <w:r w:rsidRPr="00806D24">
        <w:rPr>
          <w:lang w:val="en-US"/>
        </w:rPr>
        <w:t>will be maintained</w:t>
      </w:r>
      <w:proofErr w:type="gramEnd"/>
      <w:r w:rsidRPr="00806D24">
        <w:rPr>
          <w:lang w:val="en-US"/>
        </w:rPr>
        <w:t xml:space="preserve"> by </w:t>
      </w:r>
      <w:r w:rsidR="004B264D">
        <w:rPr>
          <w:lang w:val="en-US"/>
        </w:rPr>
        <w:t>IRB</w:t>
      </w:r>
      <w:r w:rsidRPr="00806D24">
        <w:rPr>
          <w:lang w:val="en-US"/>
        </w:rPr>
        <w:t xml:space="preserve"> for a period of not less than </w:t>
      </w:r>
      <w:r w:rsidRPr="002E34D9">
        <w:rPr>
          <w:b/>
          <w:lang w:val="en-US"/>
        </w:rPr>
        <w:t>5 years</w:t>
      </w:r>
      <w:r w:rsidRPr="00806D24">
        <w:rPr>
          <w:lang w:val="en-US"/>
        </w:rPr>
        <w:t xml:space="preserve">. </w:t>
      </w:r>
    </w:p>
    <w:p w14:paraId="089F07BA" w14:textId="77777777" w:rsidR="00345FAF" w:rsidRPr="00806D24" w:rsidRDefault="004922D7">
      <w:pPr>
        <w:spacing w:after="0" w:line="259" w:lineRule="auto"/>
        <w:ind w:left="792" w:firstLine="0"/>
        <w:rPr>
          <w:lang w:val="en-US"/>
        </w:rPr>
      </w:pPr>
      <w:r w:rsidRPr="00806D24">
        <w:rPr>
          <w:lang w:val="en-US"/>
        </w:rPr>
        <w:t xml:space="preserve"> </w:t>
      </w:r>
    </w:p>
    <w:p w14:paraId="17185500" w14:textId="748B086E" w:rsidR="00345FAF" w:rsidRPr="00806D24" w:rsidRDefault="004922D7" w:rsidP="004B264D">
      <w:pPr>
        <w:ind w:left="715"/>
        <w:rPr>
          <w:lang w:val="en-US"/>
        </w:rPr>
      </w:pPr>
      <w:r w:rsidRPr="00806D24">
        <w:rPr>
          <w:lang w:val="en-US"/>
        </w:rPr>
        <w:t>These documents include but are not limite</w:t>
      </w:r>
      <w:r w:rsidR="001B36A9">
        <w:rPr>
          <w:lang w:val="en-US"/>
        </w:rPr>
        <w:t xml:space="preserve">d </w:t>
      </w:r>
      <w:proofErr w:type="gramStart"/>
      <w:r w:rsidR="001B36A9">
        <w:rPr>
          <w:lang w:val="en-US"/>
        </w:rPr>
        <w:t>to:</w:t>
      </w:r>
      <w:proofErr w:type="gramEnd"/>
      <w:r w:rsidR="001B36A9">
        <w:rPr>
          <w:lang w:val="en-US"/>
        </w:rPr>
        <w:t xml:space="preserve"> Noncompliance Report</w:t>
      </w:r>
      <w:bookmarkStart w:id="0" w:name="_GoBack"/>
      <w:bookmarkEnd w:id="0"/>
      <w:r w:rsidRPr="00806D24">
        <w:rPr>
          <w:lang w:val="en-US"/>
        </w:rPr>
        <w:t xml:space="preserve">; correspondence with the Protocol PI; and documentation of implementation of corrective plans.   </w:t>
      </w:r>
    </w:p>
    <w:p w14:paraId="564C30EE" w14:textId="58E3C4CE" w:rsidR="00345FAF" w:rsidRPr="00806D24" w:rsidRDefault="00345FAF">
      <w:pPr>
        <w:spacing w:after="0" w:line="259" w:lineRule="auto"/>
        <w:ind w:left="0" w:firstLine="0"/>
        <w:rPr>
          <w:lang w:val="en-US"/>
        </w:rPr>
      </w:pPr>
    </w:p>
    <w:sectPr w:rsidR="00345FAF" w:rsidRPr="00806D24">
      <w:headerReference w:type="even" r:id="rId48"/>
      <w:headerReference w:type="default" r:id="rId49"/>
      <w:footerReference w:type="even" r:id="rId50"/>
      <w:footerReference w:type="default" r:id="rId51"/>
      <w:headerReference w:type="first" r:id="rId52"/>
      <w:footerReference w:type="first" r:id="rId53"/>
      <w:pgSz w:w="12240" w:h="15840"/>
      <w:pgMar w:top="1154" w:right="1160" w:bottom="1163" w:left="1152" w:header="723"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C4E18" w14:textId="77777777" w:rsidR="00DD7854" w:rsidRDefault="00DD7854">
      <w:pPr>
        <w:spacing w:after="0" w:line="240" w:lineRule="auto"/>
      </w:pPr>
      <w:r>
        <w:separator/>
      </w:r>
    </w:p>
  </w:endnote>
  <w:endnote w:type="continuationSeparator" w:id="0">
    <w:p w14:paraId="5950F1F7" w14:textId="77777777" w:rsidR="00DD7854" w:rsidRDefault="00DD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2809" w14:textId="77777777" w:rsidR="00345FAF" w:rsidRDefault="004922D7">
    <w:pPr>
      <w:tabs>
        <w:tab w:val="center" w:pos="4969"/>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147405"/>
      <w:docPartObj>
        <w:docPartGallery w:val="Page Numbers (Bottom of Page)"/>
        <w:docPartUnique/>
      </w:docPartObj>
    </w:sdtPr>
    <w:sdtEndPr/>
    <w:sdtContent>
      <w:sdt>
        <w:sdtPr>
          <w:id w:val="-1769616900"/>
          <w:docPartObj>
            <w:docPartGallery w:val="Page Numbers (Top of Page)"/>
            <w:docPartUnique/>
          </w:docPartObj>
        </w:sdtPr>
        <w:sdtEndPr/>
        <w:sdtContent>
          <w:p w14:paraId="132C820B" w14:textId="6EEC0D72" w:rsidR="007E24C5" w:rsidRDefault="007E24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36A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36A9">
              <w:rPr>
                <w:b/>
                <w:bCs/>
                <w:noProof/>
              </w:rPr>
              <w:t>6</w:t>
            </w:r>
            <w:r>
              <w:rPr>
                <w:b/>
                <w:bCs/>
                <w:sz w:val="24"/>
                <w:szCs w:val="24"/>
              </w:rPr>
              <w:fldChar w:fldCharType="end"/>
            </w:r>
          </w:p>
        </w:sdtContent>
      </w:sdt>
    </w:sdtContent>
  </w:sdt>
  <w:p w14:paraId="6C2035CF" w14:textId="77777777" w:rsidR="002B1B9D" w:rsidRPr="002B1B9D" w:rsidRDefault="002B1B9D" w:rsidP="007E24C5">
    <w:pPr>
      <w:tabs>
        <w:tab w:val="center" w:pos="4968"/>
      </w:tabs>
      <w:spacing w:after="0" w:line="259" w:lineRule="auto"/>
      <w:ind w:left="0" w:firstLine="0"/>
      <w:rPr>
        <w:sz w:val="14"/>
        <w:lang w:val="en-US"/>
      </w:rPr>
    </w:pPr>
    <w:r w:rsidRPr="002B1B9D">
      <w:rPr>
        <w:sz w:val="14"/>
        <w:lang w:val="en-US"/>
      </w:rPr>
      <w:t>CCC-UPR IRB</w:t>
    </w:r>
  </w:p>
  <w:p w14:paraId="4AED112C" w14:textId="57E7A134" w:rsidR="004B264D" w:rsidRPr="002B1B9D" w:rsidRDefault="004B264D" w:rsidP="007E24C5">
    <w:pPr>
      <w:tabs>
        <w:tab w:val="center" w:pos="4968"/>
      </w:tabs>
      <w:spacing w:after="0" w:line="259" w:lineRule="auto"/>
      <w:ind w:left="0" w:firstLine="0"/>
      <w:rPr>
        <w:sz w:val="14"/>
        <w:lang w:val="en-US"/>
      </w:rPr>
    </w:pPr>
    <w:r w:rsidRPr="002B1B9D">
      <w:rPr>
        <w:sz w:val="14"/>
        <w:lang w:val="en-US"/>
      </w:rPr>
      <w:t>SOP# 5</w:t>
    </w:r>
  </w:p>
  <w:p w14:paraId="2ABE033C" w14:textId="562A3BDE" w:rsidR="007E24C5" w:rsidRPr="002B1B9D" w:rsidRDefault="00096F5C" w:rsidP="007E24C5">
    <w:pPr>
      <w:tabs>
        <w:tab w:val="center" w:pos="4968"/>
      </w:tabs>
      <w:spacing w:after="0" w:line="259" w:lineRule="auto"/>
      <w:ind w:left="0" w:firstLine="0"/>
      <w:rPr>
        <w:sz w:val="14"/>
        <w:lang w:val="en-US"/>
      </w:rPr>
    </w:pPr>
    <w:r w:rsidRPr="002B1B9D">
      <w:rPr>
        <w:sz w:val="14"/>
        <w:lang w:val="en-US"/>
      </w:rPr>
      <w:t>Jan. 2019</w:t>
    </w:r>
  </w:p>
  <w:p w14:paraId="27C30154" w14:textId="569AFEC4" w:rsidR="00345FAF" w:rsidRPr="00D41E92" w:rsidRDefault="00345FAF" w:rsidP="007E24C5">
    <w:pPr>
      <w:tabs>
        <w:tab w:val="center" w:pos="4969"/>
      </w:tabs>
      <w:spacing w:after="0" w:line="259" w:lineRule="auto"/>
      <w:ind w:left="0" w:firstLine="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8D88D" w14:textId="77777777" w:rsidR="00345FAF" w:rsidRDefault="004922D7">
    <w:pPr>
      <w:tabs>
        <w:tab w:val="center" w:pos="4969"/>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B057C" w14:textId="77777777" w:rsidR="00DD7854" w:rsidRDefault="00DD7854">
      <w:pPr>
        <w:spacing w:after="0" w:line="240" w:lineRule="auto"/>
      </w:pPr>
      <w:r>
        <w:separator/>
      </w:r>
    </w:p>
  </w:footnote>
  <w:footnote w:type="continuationSeparator" w:id="0">
    <w:p w14:paraId="3C44651C" w14:textId="77777777" w:rsidR="00DD7854" w:rsidRDefault="00DD7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6304A" w14:textId="77777777" w:rsidR="00345FAF" w:rsidRDefault="004922D7">
    <w:pPr>
      <w:spacing w:after="0" w:line="259" w:lineRule="auto"/>
      <w:ind w:left="0" w:firstLine="0"/>
    </w:pPr>
    <w:proofErr w:type="spellStart"/>
    <w:r>
      <w:rPr>
        <w:sz w:val="20"/>
      </w:rPr>
      <w:t>Approved</w:t>
    </w:r>
    <w:proofErr w:type="spellEnd"/>
    <w:r>
      <w:rPr>
        <w:sz w:val="20"/>
      </w:rPr>
      <w:t xml:space="preserve"> </w:t>
    </w:r>
    <w:proofErr w:type="spellStart"/>
    <w:r>
      <w:rPr>
        <w:sz w:val="20"/>
      </w:rPr>
      <w:t>by</w:t>
    </w:r>
    <w:proofErr w:type="spellEnd"/>
    <w:r>
      <w:rPr>
        <w:sz w:val="20"/>
      </w:rPr>
      <w:t xml:space="preserve"> IRB 1/11/08; </w:t>
    </w:r>
    <w:proofErr w:type="spellStart"/>
    <w:r>
      <w:rPr>
        <w:sz w:val="20"/>
      </w:rPr>
      <w:t>updated</w:t>
    </w:r>
    <w:proofErr w:type="spellEnd"/>
    <w:r>
      <w:rPr>
        <w:sz w:val="20"/>
      </w:rPr>
      <w:t xml:space="preserve"> 10/1/2010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9E669" w14:textId="2E9D4A65" w:rsidR="00345FAF" w:rsidRPr="00806D24" w:rsidRDefault="00345FAF">
    <w:pPr>
      <w:spacing w:after="0" w:line="259" w:lineRule="auto"/>
      <w:ind w:left="0" w:firstLine="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6C2E" w14:textId="77777777" w:rsidR="00345FAF" w:rsidRDefault="004922D7">
    <w:pPr>
      <w:spacing w:after="0" w:line="259" w:lineRule="auto"/>
      <w:ind w:left="0" w:firstLine="0"/>
    </w:pPr>
    <w:proofErr w:type="spellStart"/>
    <w:r>
      <w:rPr>
        <w:sz w:val="20"/>
      </w:rPr>
      <w:t>Approved</w:t>
    </w:r>
    <w:proofErr w:type="spellEnd"/>
    <w:r>
      <w:rPr>
        <w:sz w:val="20"/>
      </w:rPr>
      <w:t xml:space="preserve"> </w:t>
    </w:r>
    <w:proofErr w:type="spellStart"/>
    <w:r>
      <w:rPr>
        <w:sz w:val="20"/>
      </w:rPr>
      <w:t>by</w:t>
    </w:r>
    <w:proofErr w:type="spellEnd"/>
    <w:r>
      <w:rPr>
        <w:sz w:val="20"/>
      </w:rPr>
      <w:t xml:space="preserve"> IRB 1/11/08; </w:t>
    </w:r>
    <w:proofErr w:type="spellStart"/>
    <w:r>
      <w:rPr>
        <w:sz w:val="20"/>
      </w:rPr>
      <w:t>updated</w:t>
    </w:r>
    <w:proofErr w:type="spellEnd"/>
    <w:r>
      <w:rPr>
        <w:sz w:val="20"/>
      </w:rPr>
      <w:t xml:space="preserve"> 10/1/2010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F7DA7"/>
    <w:multiLevelType w:val="multilevel"/>
    <w:tmpl w:val="722C6A26"/>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764444"/>
    <w:multiLevelType w:val="hybridMultilevel"/>
    <w:tmpl w:val="58669BBA"/>
    <w:lvl w:ilvl="0" w:tplc="C7AA47B8">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5493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304E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8B0E9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A44CC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12A8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8E3B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5E4B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04649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884C14"/>
    <w:multiLevelType w:val="hybridMultilevel"/>
    <w:tmpl w:val="D1CE7210"/>
    <w:lvl w:ilvl="0" w:tplc="454ABA38">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E2D1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9487B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2787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4FF9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B0B5D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C68B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E387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2383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B36689"/>
    <w:multiLevelType w:val="hybridMultilevel"/>
    <w:tmpl w:val="A33A92CC"/>
    <w:lvl w:ilvl="0" w:tplc="3C5ABD78">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AE59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34949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2851D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2DF5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24E9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8F20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E77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CC70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NbQwMzIwsjQ1tjRT0lEKTi0uzszPAykwrQUAirmdqiwAAAA="/>
  </w:docVars>
  <w:rsids>
    <w:rsidRoot w:val="00345FAF"/>
    <w:rsid w:val="00040824"/>
    <w:rsid w:val="00071BD3"/>
    <w:rsid w:val="00096F5C"/>
    <w:rsid w:val="000C4491"/>
    <w:rsid w:val="000E3A60"/>
    <w:rsid w:val="0018369C"/>
    <w:rsid w:val="001B36A9"/>
    <w:rsid w:val="001B580B"/>
    <w:rsid w:val="002B1B9D"/>
    <w:rsid w:val="002E34D9"/>
    <w:rsid w:val="00345FAF"/>
    <w:rsid w:val="003825B9"/>
    <w:rsid w:val="004845FE"/>
    <w:rsid w:val="004922D7"/>
    <w:rsid w:val="004B264D"/>
    <w:rsid w:val="00587776"/>
    <w:rsid w:val="005C208D"/>
    <w:rsid w:val="005D36F3"/>
    <w:rsid w:val="005D5AEE"/>
    <w:rsid w:val="00674466"/>
    <w:rsid w:val="00681B7D"/>
    <w:rsid w:val="007E24C5"/>
    <w:rsid w:val="00806D24"/>
    <w:rsid w:val="008D190D"/>
    <w:rsid w:val="009676DB"/>
    <w:rsid w:val="00A75DD2"/>
    <w:rsid w:val="00AA6ABE"/>
    <w:rsid w:val="00BE6318"/>
    <w:rsid w:val="00C150A1"/>
    <w:rsid w:val="00C24673"/>
    <w:rsid w:val="00C54846"/>
    <w:rsid w:val="00C7488C"/>
    <w:rsid w:val="00D41E92"/>
    <w:rsid w:val="00DD7854"/>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BBC3"/>
  <w15:docId w15:val="{DF70B792-F6AA-4166-9BEF-B5A98583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4"/>
      </w:numPr>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806D24"/>
    <w:rPr>
      <w:sz w:val="16"/>
      <w:szCs w:val="16"/>
    </w:rPr>
  </w:style>
  <w:style w:type="paragraph" w:styleId="CommentText">
    <w:name w:val="annotation text"/>
    <w:basedOn w:val="Normal"/>
    <w:link w:val="CommentTextChar"/>
    <w:uiPriority w:val="99"/>
    <w:semiHidden/>
    <w:unhideWhenUsed/>
    <w:rsid w:val="00806D24"/>
    <w:pPr>
      <w:spacing w:line="240" w:lineRule="auto"/>
    </w:pPr>
    <w:rPr>
      <w:sz w:val="20"/>
      <w:szCs w:val="20"/>
    </w:rPr>
  </w:style>
  <w:style w:type="character" w:customStyle="1" w:styleId="CommentTextChar">
    <w:name w:val="Comment Text Char"/>
    <w:basedOn w:val="DefaultParagraphFont"/>
    <w:link w:val="CommentText"/>
    <w:uiPriority w:val="99"/>
    <w:semiHidden/>
    <w:rsid w:val="00806D2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06D24"/>
    <w:rPr>
      <w:b/>
      <w:bCs/>
    </w:rPr>
  </w:style>
  <w:style w:type="character" w:customStyle="1" w:styleId="CommentSubjectChar">
    <w:name w:val="Comment Subject Char"/>
    <w:basedOn w:val="CommentTextChar"/>
    <w:link w:val="CommentSubject"/>
    <w:uiPriority w:val="99"/>
    <w:semiHidden/>
    <w:rsid w:val="00806D24"/>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806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D24"/>
    <w:rPr>
      <w:rFonts w:ascii="Segoe UI" w:eastAsia="Times New Roman" w:hAnsi="Segoe UI" w:cs="Segoe UI"/>
      <w:color w:val="000000"/>
      <w:sz w:val="18"/>
      <w:szCs w:val="18"/>
    </w:rPr>
  </w:style>
  <w:style w:type="paragraph" w:styleId="Footer">
    <w:name w:val="footer"/>
    <w:basedOn w:val="Normal"/>
    <w:link w:val="FooterChar"/>
    <w:uiPriority w:val="99"/>
    <w:unhideWhenUsed/>
    <w:rsid w:val="007E24C5"/>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7E24C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irb.cornell.edu/regulations/fwa.htm" TargetMode="External"/><Relationship Id="rId18" Type="http://schemas.openxmlformats.org/officeDocument/2006/relationships/hyperlink" Target="http://www.irb.cornell.edu/regulations/fwa.htm" TargetMode="External"/><Relationship Id="rId26" Type="http://schemas.openxmlformats.org/officeDocument/2006/relationships/hyperlink" Target="http://www.irb.cornell.edu/documents/SOP%204%20-%20Unanticipated%20Events.pdf" TargetMode="External"/><Relationship Id="rId39" Type="http://schemas.openxmlformats.org/officeDocument/2006/relationships/hyperlink" Target="http://www.irb.cornell.edu/documents/SOP%206%20-%20Suspension%20Termination.pdf" TargetMode="External"/><Relationship Id="rId21" Type="http://schemas.openxmlformats.org/officeDocument/2006/relationships/hyperlink" Target="http://www.irb.cornell.edu/documents/SOP%206%20-%20Suspension%20Termination.pdf" TargetMode="External"/><Relationship Id="rId34" Type="http://schemas.openxmlformats.org/officeDocument/2006/relationships/hyperlink" Target="http://www.irb.cornell.edu/documents/SOP%206%20-%20Suspension%20Termination.pdf" TargetMode="External"/><Relationship Id="rId42" Type="http://schemas.openxmlformats.org/officeDocument/2006/relationships/hyperlink" Target="http://www.irb.cornell.edu/documents/SOP%206%20-%20Suspension%20Termination.pdf" TargetMode="External"/><Relationship Id="rId47" Type="http://schemas.openxmlformats.org/officeDocument/2006/relationships/hyperlink" Target="http://www.irb.cornell.edu/documents/SOP%206%20-%20Suspension%20Termination.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irb.cornell.edu/glossary/" TargetMode="External"/><Relationship Id="rId29" Type="http://schemas.openxmlformats.org/officeDocument/2006/relationships/hyperlink" Target="http://www.irb.cornell.edu/documents/SOP%206%20-%20Suspension%20Termination.pdf" TargetMode="External"/><Relationship Id="rId11" Type="http://schemas.openxmlformats.org/officeDocument/2006/relationships/hyperlink" Target="http://www.irb.cornell.edu/regulations/fwa.htm" TargetMode="External"/><Relationship Id="rId24" Type="http://schemas.openxmlformats.org/officeDocument/2006/relationships/hyperlink" Target="http://www.irb.cornell.edu/documents/SOP%204%20-%20Unanticipated%20Events.pdf" TargetMode="External"/><Relationship Id="rId32" Type="http://schemas.openxmlformats.org/officeDocument/2006/relationships/hyperlink" Target="http://www.irb.cornell.edu/documents/SOP%206%20-%20Suspension%20Termination.pdf" TargetMode="External"/><Relationship Id="rId37" Type="http://schemas.openxmlformats.org/officeDocument/2006/relationships/hyperlink" Target="http://www.irb.cornell.edu/documents/SOP%206%20-%20Suspension%20Termination.pdf" TargetMode="External"/><Relationship Id="rId40" Type="http://schemas.openxmlformats.org/officeDocument/2006/relationships/hyperlink" Target="http://www.irb.cornell.edu/documents/SOP%206%20-%20Suspension%20Termination.pdf" TargetMode="External"/><Relationship Id="rId45" Type="http://schemas.openxmlformats.org/officeDocument/2006/relationships/hyperlink" Target="http://www.irb.cornell.edu/documents/SOP%206%20-%20Suspension%20Termination.pdf"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irb.cornell.edu/regulations/fwa.htm" TargetMode="External"/><Relationship Id="rId19" Type="http://schemas.openxmlformats.org/officeDocument/2006/relationships/hyperlink" Target="http://www.irb.cornell.edu/regulations/fwa.htm" TargetMode="External"/><Relationship Id="rId31" Type="http://schemas.openxmlformats.org/officeDocument/2006/relationships/hyperlink" Target="http://www.irb.cornell.edu/documents/SOP%206%20-%20Suspension%20Termination.pdf" TargetMode="External"/><Relationship Id="rId44" Type="http://schemas.openxmlformats.org/officeDocument/2006/relationships/hyperlink" Target="http://www.irb.cornell.edu/documents/SOP%206%20-%20Suspension%20Termination.pdf"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rb.cornell.edu/regulations/fwa.htm" TargetMode="External"/><Relationship Id="rId14" Type="http://schemas.openxmlformats.org/officeDocument/2006/relationships/hyperlink" Target="http://www.irb.cornell.edu/documents/SOP%204%20-%20Unanticipated%20Events.pdf" TargetMode="External"/><Relationship Id="rId22" Type="http://schemas.openxmlformats.org/officeDocument/2006/relationships/hyperlink" Target="http://www.irb.cornell.edu/documents/SOP%206%20-%20Suspension%20Termination.pdf" TargetMode="External"/><Relationship Id="rId27" Type="http://schemas.openxmlformats.org/officeDocument/2006/relationships/hyperlink" Target="http://www.irb.cornell.edu/documents/SOP%204%20-%20Unanticipated%20Events.pdf" TargetMode="External"/><Relationship Id="rId30" Type="http://schemas.openxmlformats.org/officeDocument/2006/relationships/hyperlink" Target="http://www.irb.cornell.edu/documents/SOP%206%20-%20Suspension%20Termination.pdf" TargetMode="External"/><Relationship Id="rId35" Type="http://schemas.openxmlformats.org/officeDocument/2006/relationships/hyperlink" Target="http://www.irb.cornell.edu/documents/SOP%206%20-%20Suspension%20Termination.pdf" TargetMode="External"/><Relationship Id="rId43" Type="http://schemas.openxmlformats.org/officeDocument/2006/relationships/hyperlink" Target="http://www.irb.cornell.edu/documents/SOP%206%20-%20Suspension%20Termination.pdf" TargetMode="External"/><Relationship Id="rId48" Type="http://schemas.openxmlformats.org/officeDocument/2006/relationships/header" Target="header1.xml"/><Relationship Id="rId8" Type="http://schemas.openxmlformats.org/officeDocument/2006/relationships/hyperlink" Target="http://www.irb.cornell.edu/regulations/fwa.htm"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irb.cornell.edu/regulations/fwa.htm" TargetMode="External"/><Relationship Id="rId17" Type="http://schemas.openxmlformats.org/officeDocument/2006/relationships/hyperlink" Target="http://www.irb.cornell.edu/glossary/" TargetMode="External"/><Relationship Id="rId25" Type="http://schemas.openxmlformats.org/officeDocument/2006/relationships/hyperlink" Target="http://www.irb.cornell.edu/documents/SOP%204%20-%20Unanticipated%20Events.pdf" TargetMode="External"/><Relationship Id="rId33" Type="http://schemas.openxmlformats.org/officeDocument/2006/relationships/hyperlink" Target="http://www.irb.cornell.edu/documents/SOP%206%20-%20Suspension%20Termination.pdf" TargetMode="External"/><Relationship Id="rId38" Type="http://schemas.openxmlformats.org/officeDocument/2006/relationships/hyperlink" Target="http://www.irb.cornell.edu/documents/SOP%206%20-%20Suspension%20Termination.pdf" TargetMode="External"/><Relationship Id="rId46" Type="http://schemas.openxmlformats.org/officeDocument/2006/relationships/hyperlink" Target="http://www.irb.cornell.edu/documents/SOP%206%20-%20Suspension%20Termination.pdf" TargetMode="External"/><Relationship Id="rId20" Type="http://schemas.openxmlformats.org/officeDocument/2006/relationships/hyperlink" Target="http://www.irb.cornell.edu/documents/SOP%206%20-%20Suspension%20Termination.pdf" TargetMode="External"/><Relationship Id="rId41" Type="http://schemas.openxmlformats.org/officeDocument/2006/relationships/hyperlink" Target="http://www.irb.cornell.edu/documents/SOP%206%20-%20Suspension%20Termination.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rb.cornell.edu/documents/SOP%204%20-%20Unanticipated%20Events.pdf" TargetMode="External"/><Relationship Id="rId23" Type="http://schemas.openxmlformats.org/officeDocument/2006/relationships/hyperlink" Target="http://www.irb.cornell.edu/documents/SOP%206%20-%20Suspension%20Termination.pdf" TargetMode="External"/><Relationship Id="rId28" Type="http://schemas.openxmlformats.org/officeDocument/2006/relationships/hyperlink" Target="http://www.irb.cornell.edu/documents/SOP%206%20-%20Suspension%20Termination.pdf" TargetMode="External"/><Relationship Id="rId36" Type="http://schemas.openxmlformats.org/officeDocument/2006/relationships/hyperlink" Target="http://www.irb.cornell.edu/documents/SOP%206%20-%20Suspension%20Termination.pdf"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HUMAN PARTICIPANT RESEARCH Policy 2:</vt:lpstr>
    </vt:vector>
  </TitlesOfParts>
  <Company>Microsoft</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PARTICIPANT RESEARCH Policy 2:</dc:title>
  <dc:subject/>
  <dc:creator>md297</dc:creator>
  <cp:keywords/>
  <cp:lastModifiedBy>Wanda Figueroa</cp:lastModifiedBy>
  <cp:revision>8</cp:revision>
  <cp:lastPrinted>2019-01-15T18:36:00Z</cp:lastPrinted>
  <dcterms:created xsi:type="dcterms:W3CDTF">2018-06-07T18:41:00Z</dcterms:created>
  <dcterms:modified xsi:type="dcterms:W3CDTF">2019-02-26T16:39:00Z</dcterms:modified>
</cp:coreProperties>
</file>