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B16" w:rsidRDefault="003B23C7" w:rsidP="00D54B16">
      <w:pPr>
        <w:jc w:val="center"/>
        <w:rPr>
          <w:rFonts w:ascii="Arial" w:hAnsi="Arial" w:cs="Arial"/>
          <w:b/>
          <w:bCs/>
          <w:sz w:val="28"/>
          <w:szCs w:val="28"/>
        </w:rPr>
      </w:pPr>
      <w:r>
        <w:rPr>
          <w:noProof/>
        </w:rPr>
        <w:drawing>
          <wp:inline distT="0" distB="0" distL="0" distR="0" wp14:anchorId="4AFCCAFD" wp14:editId="5F042692">
            <wp:extent cx="585724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240" cy="904875"/>
                    </a:xfrm>
                    <a:prstGeom prst="rect">
                      <a:avLst/>
                    </a:prstGeom>
                    <a:noFill/>
                  </pic:spPr>
                </pic:pic>
              </a:graphicData>
            </a:graphic>
          </wp:inline>
        </w:drawing>
      </w:r>
      <w:r w:rsidR="00D54B16">
        <w:rPr>
          <w:rFonts w:ascii="Arial" w:hAnsi="Arial" w:cs="Arial"/>
          <w:b/>
          <w:bCs/>
          <w:sz w:val="28"/>
          <w:szCs w:val="28"/>
        </w:rPr>
        <w:t>Exempt Evaluation</w:t>
      </w:r>
      <w:r w:rsidR="00D54B16">
        <w:rPr>
          <w:rFonts w:ascii="Arial" w:hAnsi="Arial" w:cs="Arial"/>
          <w:b/>
          <w:bCs/>
        </w:rPr>
        <w:t xml:space="preserve"> </w:t>
      </w:r>
      <w:r w:rsidR="00D54B16">
        <w:rPr>
          <w:rFonts w:ascii="Arial" w:hAnsi="Arial" w:cs="Arial"/>
          <w:b/>
          <w:bCs/>
          <w:sz w:val="28"/>
          <w:szCs w:val="28"/>
        </w:rPr>
        <w:t>Checklist</w:t>
      </w:r>
    </w:p>
    <w:p w:rsidR="00D54B16" w:rsidRDefault="00D54B16" w:rsidP="00D54B16">
      <w:pPr>
        <w:jc w:val="center"/>
        <w:rPr>
          <w:rFonts w:ascii="Arial" w:hAnsi="Arial" w:cs="Arial"/>
          <w:b/>
          <w:bCs/>
          <w:sz w:val="28"/>
          <w:szCs w:val="28"/>
        </w:rPr>
      </w:pPr>
      <w:r>
        <w:rPr>
          <w:rFonts w:ascii="Arial" w:hAnsi="Arial" w:cs="Arial"/>
          <w:b/>
          <w:bCs/>
          <w:sz w:val="28"/>
          <w:szCs w:val="28"/>
        </w:rPr>
        <w:t xml:space="preserve"> </w:t>
      </w:r>
      <w:r w:rsidRPr="00FF090C">
        <w:rPr>
          <w:rFonts w:ascii="Arial" w:hAnsi="Arial" w:cs="Arial"/>
          <w:b/>
          <w:bCs/>
          <w:sz w:val="28"/>
          <w:szCs w:val="28"/>
        </w:rPr>
        <w:t>Section 46.104, Exempt Research</w:t>
      </w:r>
    </w:p>
    <w:tbl>
      <w:tblPr>
        <w:tblW w:w="11055" w:type="dxa"/>
        <w:tblInd w:w="-578" w:type="dxa"/>
        <w:tblLayout w:type="fixed"/>
        <w:tblCellMar>
          <w:left w:w="0" w:type="dxa"/>
          <w:right w:w="0" w:type="dxa"/>
        </w:tblCellMar>
        <w:tblLook w:val="0001" w:firstRow="0" w:lastRow="0" w:firstColumn="0" w:lastColumn="0" w:noHBand="0" w:noVBand="0"/>
      </w:tblPr>
      <w:tblGrid>
        <w:gridCol w:w="530"/>
        <w:gridCol w:w="524"/>
        <w:gridCol w:w="1398"/>
        <w:gridCol w:w="4714"/>
        <w:gridCol w:w="698"/>
        <w:gridCol w:w="3191"/>
      </w:tblGrid>
      <w:tr w:rsidR="00DB6E5A" w:rsidTr="00DB6E5A">
        <w:tblPrEx>
          <w:tblCellMar>
            <w:top w:w="0" w:type="dxa"/>
            <w:bottom w:w="0" w:type="dxa"/>
          </w:tblCellMar>
        </w:tblPrEx>
        <w:trPr>
          <w:trHeight w:val="246"/>
        </w:trPr>
        <w:tc>
          <w:tcPr>
            <w:tcW w:w="1054" w:type="dxa"/>
            <w:gridSpan w:val="2"/>
            <w:tcMar>
              <w:top w:w="202" w:type="dxa"/>
            </w:tcMar>
          </w:tcPr>
          <w:p w:rsidR="00DB6E5A" w:rsidRDefault="00DB6E5A" w:rsidP="00A0509E">
            <w:pPr>
              <w:rPr>
                <w:rFonts w:ascii="Arial" w:hAnsi="Arial" w:cs="Arial"/>
                <w:sz w:val="22"/>
              </w:rPr>
            </w:pPr>
            <w:r>
              <w:rPr>
                <w:rFonts w:ascii="Arial" w:hAnsi="Arial" w:cs="Arial"/>
                <w:sz w:val="22"/>
              </w:rPr>
              <w:t>Reviewer:</w:t>
            </w:r>
          </w:p>
        </w:tc>
        <w:tc>
          <w:tcPr>
            <w:tcW w:w="6112" w:type="dxa"/>
            <w:gridSpan w:val="2"/>
            <w:tcBorders>
              <w:bottom w:val="single" w:sz="6" w:space="0" w:color="auto"/>
            </w:tcBorders>
            <w:tcMar>
              <w:top w:w="202" w:type="dxa"/>
            </w:tcMar>
          </w:tcPr>
          <w:p w:rsidR="00DB6E5A" w:rsidRDefault="00DB6E5A" w:rsidP="00A0509E">
            <w:pPr>
              <w:rPr>
                <w:rFonts w:ascii="Arial" w:hAnsi="Arial" w:cs="Arial"/>
                <w:sz w:val="22"/>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98" w:type="dxa"/>
            <w:tcMar>
              <w:top w:w="202" w:type="dxa"/>
            </w:tcMar>
          </w:tcPr>
          <w:p w:rsidR="00DB6E5A" w:rsidRDefault="00DB6E5A" w:rsidP="00A0509E">
            <w:pPr>
              <w:jc w:val="right"/>
              <w:rPr>
                <w:rFonts w:ascii="Arial" w:hAnsi="Arial" w:cs="Arial"/>
                <w:sz w:val="22"/>
              </w:rPr>
            </w:pPr>
            <w:r>
              <w:rPr>
                <w:rFonts w:ascii="Arial" w:hAnsi="Arial" w:cs="Arial"/>
                <w:sz w:val="22"/>
              </w:rPr>
              <w:t>Date:</w:t>
            </w:r>
          </w:p>
        </w:tc>
        <w:tc>
          <w:tcPr>
            <w:tcW w:w="3188" w:type="dxa"/>
            <w:tcBorders>
              <w:bottom w:val="single" w:sz="6" w:space="0" w:color="auto"/>
            </w:tcBorders>
            <w:tcMar>
              <w:top w:w="202" w:type="dxa"/>
            </w:tcMar>
          </w:tcPr>
          <w:p w:rsidR="00DB6E5A" w:rsidRDefault="00DB6E5A" w:rsidP="00A0509E">
            <w:pPr>
              <w:rPr>
                <w:rFonts w:ascii="Arial" w:hAnsi="Arial" w:cs="Arial"/>
                <w:sz w:val="22"/>
              </w:rPr>
            </w:pPr>
            <w:r>
              <w:rPr>
                <w:rFonts w:ascii="Arial" w:hAnsi="Arial" w:cs="Arial"/>
                <w:sz w:val="20"/>
              </w:rPr>
              <w:t xml:space="preserve"> </w:t>
            </w: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B6E5A" w:rsidTr="00DB6E5A">
        <w:tblPrEx>
          <w:tblCellMar>
            <w:top w:w="0" w:type="dxa"/>
            <w:bottom w:w="0" w:type="dxa"/>
          </w:tblCellMar>
        </w:tblPrEx>
        <w:trPr>
          <w:trHeight w:val="246"/>
        </w:trPr>
        <w:tc>
          <w:tcPr>
            <w:tcW w:w="530" w:type="dxa"/>
            <w:tcMar>
              <w:top w:w="202" w:type="dxa"/>
            </w:tcMar>
          </w:tcPr>
          <w:p w:rsidR="00DB6E5A" w:rsidRDefault="00DB6E5A" w:rsidP="00A0509E">
            <w:pPr>
              <w:rPr>
                <w:rFonts w:ascii="Arial" w:hAnsi="Arial" w:cs="Arial"/>
                <w:sz w:val="22"/>
              </w:rPr>
            </w:pPr>
            <w:r>
              <w:rPr>
                <w:rFonts w:ascii="Arial" w:hAnsi="Arial" w:cs="Arial"/>
                <w:sz w:val="22"/>
              </w:rPr>
              <w:t>Title:</w:t>
            </w:r>
          </w:p>
        </w:tc>
        <w:tc>
          <w:tcPr>
            <w:tcW w:w="10524" w:type="dxa"/>
            <w:gridSpan w:val="5"/>
            <w:tcBorders>
              <w:bottom w:val="single" w:sz="8" w:space="0" w:color="auto"/>
            </w:tcBorders>
            <w:tcMar>
              <w:top w:w="202" w:type="dxa"/>
            </w:tcMar>
          </w:tcPr>
          <w:p w:rsidR="00DB6E5A" w:rsidRDefault="00DB6E5A" w:rsidP="00A0509E">
            <w:pPr>
              <w:rPr>
                <w:rFonts w:ascii="Arial" w:hAnsi="Arial" w:cs="Arial"/>
                <w:sz w:val="22"/>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B6E5A" w:rsidTr="00DB6E5A">
        <w:tblPrEx>
          <w:tblCellMar>
            <w:top w:w="0" w:type="dxa"/>
            <w:bottom w:w="0" w:type="dxa"/>
          </w:tblCellMar>
        </w:tblPrEx>
        <w:trPr>
          <w:trHeight w:val="223"/>
        </w:trPr>
        <w:tc>
          <w:tcPr>
            <w:tcW w:w="11055" w:type="dxa"/>
            <w:gridSpan w:val="6"/>
            <w:tcBorders>
              <w:bottom w:val="single" w:sz="6" w:space="0" w:color="auto"/>
            </w:tcBorders>
            <w:tcMar>
              <w:top w:w="202" w:type="dxa"/>
            </w:tcMar>
          </w:tcPr>
          <w:p w:rsidR="00DB6E5A" w:rsidRDefault="00DB6E5A" w:rsidP="00A0509E">
            <w:pPr>
              <w:rPr>
                <w:rFonts w:ascii="Arial" w:hAnsi="Arial" w:cs="Arial"/>
                <w:sz w:val="22"/>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B6E5A" w:rsidTr="00DB6E5A">
        <w:tblPrEx>
          <w:tblCellMar>
            <w:top w:w="0" w:type="dxa"/>
            <w:bottom w:w="0" w:type="dxa"/>
          </w:tblCellMar>
        </w:tblPrEx>
        <w:trPr>
          <w:trHeight w:val="246"/>
        </w:trPr>
        <w:tc>
          <w:tcPr>
            <w:tcW w:w="2452" w:type="dxa"/>
            <w:gridSpan w:val="3"/>
            <w:tcBorders>
              <w:top w:val="single" w:sz="6" w:space="0" w:color="auto"/>
            </w:tcBorders>
            <w:tcMar>
              <w:top w:w="202" w:type="dxa"/>
            </w:tcMar>
          </w:tcPr>
          <w:p w:rsidR="00DB6E5A" w:rsidRDefault="00DB6E5A" w:rsidP="00A0509E">
            <w:pPr>
              <w:rPr>
                <w:rFonts w:ascii="Arial" w:hAnsi="Arial" w:cs="Arial"/>
                <w:sz w:val="22"/>
              </w:rPr>
            </w:pPr>
            <w:r>
              <w:rPr>
                <w:rFonts w:ascii="Arial" w:hAnsi="Arial" w:cs="Arial"/>
                <w:sz w:val="22"/>
              </w:rPr>
              <w:t>Principal Investigator(s):</w:t>
            </w:r>
          </w:p>
        </w:tc>
        <w:tc>
          <w:tcPr>
            <w:tcW w:w="8603" w:type="dxa"/>
            <w:gridSpan w:val="3"/>
            <w:tcBorders>
              <w:top w:val="single" w:sz="6" w:space="0" w:color="auto"/>
              <w:bottom w:val="single" w:sz="6" w:space="0" w:color="auto"/>
            </w:tcBorders>
            <w:tcMar>
              <w:top w:w="202" w:type="dxa"/>
            </w:tcMar>
          </w:tcPr>
          <w:p w:rsidR="00DB6E5A" w:rsidRDefault="00DB6E5A" w:rsidP="00A0509E">
            <w:pPr>
              <w:rPr>
                <w:rFonts w:ascii="Arial" w:hAnsi="Arial" w:cs="Arial"/>
                <w:sz w:val="22"/>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B6E5A" w:rsidTr="00DB6E5A">
        <w:tblPrEx>
          <w:tblCellMar>
            <w:top w:w="0" w:type="dxa"/>
            <w:bottom w:w="0" w:type="dxa"/>
          </w:tblCellMar>
        </w:tblPrEx>
        <w:trPr>
          <w:trHeight w:val="246"/>
        </w:trPr>
        <w:tc>
          <w:tcPr>
            <w:tcW w:w="2452" w:type="dxa"/>
            <w:gridSpan w:val="3"/>
            <w:tcBorders>
              <w:top w:val="single" w:sz="6" w:space="0" w:color="auto"/>
            </w:tcBorders>
            <w:tcMar>
              <w:top w:w="202" w:type="dxa"/>
            </w:tcMar>
          </w:tcPr>
          <w:p w:rsidR="00DB6E5A" w:rsidRDefault="00DB6E5A" w:rsidP="00A0509E">
            <w:pPr>
              <w:rPr>
                <w:rFonts w:ascii="Arial" w:hAnsi="Arial" w:cs="Arial"/>
                <w:sz w:val="22"/>
              </w:rPr>
            </w:pPr>
          </w:p>
        </w:tc>
        <w:tc>
          <w:tcPr>
            <w:tcW w:w="8603" w:type="dxa"/>
            <w:gridSpan w:val="3"/>
            <w:tcBorders>
              <w:top w:val="single" w:sz="6" w:space="0" w:color="auto"/>
              <w:bottom w:val="single" w:sz="6" w:space="0" w:color="auto"/>
            </w:tcBorders>
            <w:tcMar>
              <w:top w:w="202" w:type="dxa"/>
            </w:tcMar>
          </w:tcPr>
          <w:p w:rsidR="00DB6E5A" w:rsidRDefault="00DB6E5A" w:rsidP="00A0509E">
            <w:pPr>
              <w:rPr>
                <w:rFonts w:ascii="Arial" w:hAnsi="Arial" w:cs="Arial"/>
                <w:sz w:val="20"/>
              </w:rPr>
            </w:pPr>
          </w:p>
        </w:tc>
      </w:tr>
    </w:tbl>
    <w:tbl>
      <w:tblPr>
        <w:tblStyle w:val="GridTable4-Accent6"/>
        <w:tblW w:w="0" w:type="auto"/>
        <w:tblLook w:val="04A0" w:firstRow="1" w:lastRow="0" w:firstColumn="1" w:lastColumn="0" w:noHBand="0" w:noVBand="1"/>
      </w:tblPr>
      <w:tblGrid>
        <w:gridCol w:w="757"/>
        <w:gridCol w:w="6502"/>
        <w:gridCol w:w="2091"/>
      </w:tblGrid>
      <w:tr w:rsidR="003B23C7" w:rsidTr="00DB6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Pr>
          <w:p w:rsidR="00D54B16" w:rsidRPr="00AB5750" w:rsidRDefault="003B23C7" w:rsidP="00EB7C2E">
            <w:pPr>
              <w:rPr>
                <w:rFonts w:ascii="Arial" w:hAnsi="Arial" w:cs="Arial"/>
                <w:b w:val="0"/>
                <w:bCs w:val="0"/>
                <w:sz w:val="22"/>
                <w:szCs w:val="22"/>
              </w:rPr>
            </w:pPr>
            <w:r w:rsidRPr="003B23C7">
              <w:rPr>
                <w:rFonts w:ascii="Arial" w:hAnsi="Arial" w:cs="Arial"/>
                <w:b w:val="0"/>
                <w:bCs w:val="0"/>
                <w:sz w:val="18"/>
                <w:szCs w:val="22"/>
              </w:rPr>
              <w:t>Check</w:t>
            </w:r>
          </w:p>
        </w:tc>
        <w:tc>
          <w:tcPr>
            <w:tcW w:w="6502" w:type="dxa"/>
          </w:tcPr>
          <w:p w:rsidR="00D54B16" w:rsidRDefault="00D54B16" w:rsidP="00EB7C2E">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AB5750">
              <w:rPr>
                <w:rFonts w:ascii="Arial" w:hAnsi="Arial" w:cs="Arial"/>
                <w:b w:val="0"/>
                <w:bCs w:val="0"/>
                <w:sz w:val="22"/>
                <w:szCs w:val="22"/>
              </w:rPr>
              <w:t>EXEMPT REVIEW CATEGORIES:</w:t>
            </w:r>
            <w:r>
              <w:rPr>
                <w:rFonts w:ascii="Arial" w:hAnsi="Arial" w:cs="Arial"/>
                <w:b w:val="0"/>
                <w:bCs w:val="0"/>
                <w:sz w:val="22"/>
                <w:szCs w:val="22"/>
              </w:rPr>
              <w:t xml:space="preserve"> </w:t>
            </w:r>
          </w:p>
          <w:p w:rsidR="00D54B16" w:rsidRDefault="00D54B16" w:rsidP="00EB7C2E">
            <w:pPr>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i/>
                <w:sz w:val="22"/>
                <w:szCs w:val="22"/>
              </w:rPr>
              <w:t>Research that includes a</w:t>
            </w:r>
            <w:r w:rsidRPr="00444D78">
              <w:rPr>
                <w:rFonts w:ascii="Arial" w:hAnsi="Arial" w:cs="Arial"/>
                <w:b w:val="0"/>
                <w:bCs w:val="0"/>
                <w:i/>
                <w:sz w:val="22"/>
                <w:szCs w:val="22"/>
              </w:rPr>
              <w:t xml:space="preserve">udio, video, digital, and image recordings </w:t>
            </w:r>
            <w:r>
              <w:rPr>
                <w:rFonts w:ascii="Arial" w:hAnsi="Arial" w:cs="Arial"/>
                <w:b w:val="0"/>
                <w:bCs w:val="0"/>
                <w:i/>
                <w:sz w:val="22"/>
                <w:szCs w:val="22"/>
              </w:rPr>
              <w:t>of subjects does not qualify for any of the exempt review categories.</w:t>
            </w:r>
          </w:p>
        </w:tc>
        <w:tc>
          <w:tcPr>
            <w:tcW w:w="2091" w:type="dxa"/>
          </w:tcPr>
          <w:p w:rsidR="00D54B16" w:rsidRPr="00AB5750" w:rsidRDefault="003B23C7" w:rsidP="00EB7C2E">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b w:val="0"/>
                <w:bCs w:val="0"/>
                <w:sz w:val="22"/>
                <w:szCs w:val="22"/>
              </w:rPr>
              <w:t>Comments</w:t>
            </w:r>
          </w:p>
        </w:tc>
      </w:tr>
      <w:tr w:rsidR="00D54B16" w:rsidTr="00DB6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Pr>
          <w:p w:rsidR="00D54B16" w:rsidRPr="00EB7C2E" w:rsidRDefault="00D54B16" w:rsidP="00EB7C2E">
            <w:pPr>
              <w:rPr>
                <w:b w:val="0"/>
                <w:sz w:val="22"/>
                <w:szCs w:val="22"/>
              </w:rPr>
            </w:pPr>
          </w:p>
        </w:tc>
        <w:tc>
          <w:tcPr>
            <w:tcW w:w="6502" w:type="dxa"/>
          </w:tcPr>
          <w:p w:rsidR="00D54B16" w:rsidRDefault="00D54B16" w:rsidP="00EB7C2E">
            <w:pPr>
              <w:cnfStyle w:val="000000100000" w:firstRow="0" w:lastRow="0" w:firstColumn="0" w:lastColumn="0" w:oddVBand="0" w:evenVBand="0" w:oddHBand="1" w:evenHBand="0" w:firstRowFirstColumn="0" w:firstRowLastColumn="0" w:lastRowFirstColumn="0" w:lastRowLastColumn="0"/>
              <w:rPr>
                <w:b/>
                <w:sz w:val="22"/>
                <w:szCs w:val="22"/>
              </w:rPr>
            </w:pPr>
            <w:r w:rsidRPr="00EB7C2E">
              <w:rPr>
                <w:b/>
                <w:sz w:val="22"/>
                <w:szCs w:val="22"/>
              </w:rPr>
              <w:t>Criteria #1: Education .104(d)(1)</w:t>
            </w:r>
          </w:p>
          <w:p w:rsidR="00DB6E5A" w:rsidRPr="00EB7C2E" w:rsidRDefault="00DB6E5A" w:rsidP="00EB7C2E">
            <w:pPr>
              <w:cnfStyle w:val="000000100000" w:firstRow="0" w:lastRow="0" w:firstColumn="0" w:lastColumn="0" w:oddVBand="0" w:evenVBand="0" w:oddHBand="1" w:evenHBand="0" w:firstRowFirstColumn="0" w:firstRowLastColumn="0" w:lastRowFirstColumn="0" w:lastRowLastColumn="0"/>
              <w:rPr>
                <w:b/>
                <w:sz w:val="22"/>
                <w:szCs w:val="22"/>
              </w:rPr>
            </w:pP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 xml:space="preserve">Research, conducted in established or commonly accepted educational settings, that specifically involves normal educational practices that are not likely to adversely </w:t>
            </w:r>
            <w:proofErr w:type="gramStart"/>
            <w:r w:rsidRPr="00EB7C2E">
              <w:rPr>
                <w:sz w:val="22"/>
                <w:szCs w:val="22"/>
              </w:rPr>
              <w:t>impact</w:t>
            </w:r>
            <w:proofErr w:type="gramEnd"/>
            <w:r w:rsidRPr="00EB7C2E">
              <w:rPr>
                <w:sz w:val="22"/>
                <w:szCs w:val="22"/>
              </w:rPr>
              <w:t xml:space="preserve">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w:t>
            </w:r>
            <w:r>
              <w:rPr>
                <w:sz w:val="22"/>
                <w:szCs w:val="22"/>
              </w:rPr>
              <w:t xml:space="preserve"> classroom management methods.</w:t>
            </w:r>
            <w:r w:rsidRPr="00EB7C2E">
              <w:rPr>
                <w:sz w:val="22"/>
                <w:szCs w:val="22"/>
              </w:rPr>
              <w:tab/>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 xml:space="preserve">a) In educational settings with normal educational practices? </w:t>
            </w:r>
          </w:p>
          <w:p w:rsidR="00D54B16"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proofErr w:type="gramStart"/>
            <w:r w:rsidRPr="00EB7C2E">
              <w:rPr>
                <w:sz w:val="22"/>
                <w:szCs w:val="22"/>
              </w:rPr>
              <w:t>b) Research on Regular/Special educational instructional strategies?</w:t>
            </w:r>
            <w:proofErr w:type="gramEnd"/>
          </w:p>
          <w:p w:rsidR="00DB6E5A" w:rsidRPr="00EB7C2E" w:rsidRDefault="00DB6E5A" w:rsidP="00EB7C2E">
            <w:pPr>
              <w:cnfStyle w:val="000000100000" w:firstRow="0" w:lastRow="0" w:firstColumn="0" w:lastColumn="0" w:oddVBand="0" w:evenVBand="0" w:oddHBand="1" w:evenHBand="0" w:firstRowFirstColumn="0" w:firstRowLastColumn="0" w:lastRowFirstColumn="0" w:lastRowLastColumn="0"/>
              <w:rPr>
                <w:sz w:val="22"/>
                <w:szCs w:val="22"/>
              </w:rPr>
            </w:pPr>
          </w:p>
        </w:tc>
        <w:tc>
          <w:tcPr>
            <w:tcW w:w="2091" w:type="dxa"/>
          </w:tcPr>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b/>
                <w:sz w:val="22"/>
                <w:szCs w:val="22"/>
              </w:rPr>
            </w:pPr>
          </w:p>
        </w:tc>
      </w:tr>
      <w:tr w:rsidR="00D54B16" w:rsidTr="00DB6E5A">
        <w:tc>
          <w:tcPr>
            <w:cnfStyle w:val="001000000000" w:firstRow="0" w:lastRow="0" w:firstColumn="1" w:lastColumn="0" w:oddVBand="0" w:evenVBand="0" w:oddHBand="0" w:evenHBand="0" w:firstRowFirstColumn="0" w:firstRowLastColumn="0" w:lastRowFirstColumn="0" w:lastRowLastColumn="0"/>
            <w:tcW w:w="757" w:type="dxa"/>
          </w:tcPr>
          <w:p w:rsidR="00D54B16" w:rsidRPr="00EB7C2E" w:rsidRDefault="00D54B16" w:rsidP="00EB7C2E">
            <w:pPr>
              <w:rPr>
                <w:b w:val="0"/>
                <w:sz w:val="22"/>
                <w:szCs w:val="22"/>
              </w:rPr>
            </w:pPr>
          </w:p>
        </w:tc>
        <w:tc>
          <w:tcPr>
            <w:tcW w:w="6502" w:type="dxa"/>
          </w:tcPr>
          <w:p w:rsidR="00D54B16" w:rsidRDefault="00D54B16" w:rsidP="00EB7C2E">
            <w:pPr>
              <w:cnfStyle w:val="000000000000" w:firstRow="0" w:lastRow="0" w:firstColumn="0" w:lastColumn="0" w:oddVBand="0" w:evenVBand="0" w:oddHBand="0" w:evenHBand="0" w:firstRowFirstColumn="0" w:firstRowLastColumn="0" w:lastRowFirstColumn="0" w:lastRowLastColumn="0"/>
              <w:rPr>
                <w:b/>
                <w:sz w:val="22"/>
                <w:szCs w:val="22"/>
              </w:rPr>
            </w:pPr>
            <w:r w:rsidRPr="00EB7C2E">
              <w:rPr>
                <w:b/>
                <w:sz w:val="22"/>
                <w:szCs w:val="22"/>
              </w:rPr>
              <w:t xml:space="preserve">Criteria #2: Tests, Surveys, Interviews, Observation .104(d)(2) </w:t>
            </w:r>
          </w:p>
          <w:p w:rsidR="00DB6E5A" w:rsidRPr="00EB7C2E" w:rsidRDefault="00DB6E5A" w:rsidP="00EB7C2E">
            <w:pPr>
              <w:cnfStyle w:val="000000000000" w:firstRow="0" w:lastRow="0" w:firstColumn="0" w:lastColumn="0" w:oddVBand="0" w:evenVBand="0" w:oddHBand="0" w:evenHBand="0" w:firstRowFirstColumn="0" w:firstRowLastColumn="0" w:lastRowFirstColumn="0" w:lastRowLastColumn="0"/>
              <w:rPr>
                <w:b/>
                <w:sz w:val="22"/>
                <w:szCs w:val="22"/>
              </w:rPr>
            </w:pP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 xml:space="preserve">Research that only includes interactions involving educational tests (cognitive, diagnostic, aptitude, achievement), survey procedures, interview procedures, or observation of public behavior (including visual or auditory recording) if at least one of the following criteria is met: </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w:t>
            </w:r>
            <w:proofErr w:type="spellStart"/>
            <w:r w:rsidRPr="00EB7C2E">
              <w:rPr>
                <w:sz w:val="22"/>
                <w:szCs w:val="22"/>
              </w:rPr>
              <w:t>i</w:t>
            </w:r>
            <w:proofErr w:type="spellEnd"/>
            <w:r w:rsidRPr="00EB7C2E">
              <w:rPr>
                <w:sz w:val="22"/>
                <w:szCs w:val="22"/>
              </w:rPr>
              <w:t>)</w:t>
            </w:r>
            <w:r w:rsidRPr="00EB7C2E">
              <w:rPr>
                <w:sz w:val="22"/>
                <w:szCs w:val="22"/>
              </w:rPr>
              <w:tab/>
              <w:t xml:space="preserve">The information obtained is recorded by the investigator in such a manner that the identity of the human subjects cannot readily be ascertained, directly or through identifiers linked to the subjects; </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(ii)</w:t>
            </w:r>
            <w:r w:rsidRPr="00EB7C2E">
              <w:rPr>
                <w:sz w:val="22"/>
                <w:szCs w:val="22"/>
              </w:rPr>
              <w:tab/>
              <w:t>Any disclosure of the human subjects’ responses outside the research would not reasonably place the subjects at risk of criminal or civil liability or be damaging to the subjects’ financial standing, employability, educational advancement, or reputation; or</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(iii)</w:t>
            </w:r>
            <w:r w:rsidRPr="00EB7C2E">
              <w:rPr>
                <w:sz w:val="22"/>
                <w:szCs w:val="22"/>
              </w:rPr>
              <w:tab/>
              <w:t xml:space="preserve">The information obtained is recorded by the investigator in such a manner that the identity of the human subjects can readily be </w:t>
            </w:r>
            <w:r w:rsidRPr="00EB7C2E">
              <w:rPr>
                <w:sz w:val="22"/>
                <w:szCs w:val="22"/>
              </w:rPr>
              <w:lastRenderedPageBreak/>
              <w:t>ascertained, directly or through identifiers linked to the subjects, and an IRB conducts a limited IRB review to make the determination required by §__.111(a)(7).</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proofErr w:type="gramStart"/>
            <w:r w:rsidRPr="00EB7C2E">
              <w:rPr>
                <w:sz w:val="22"/>
                <w:szCs w:val="22"/>
              </w:rPr>
              <w:t>Involves educational tests(s), surveys, interviews or observation of public behavior?</w:t>
            </w:r>
            <w:proofErr w:type="gramEnd"/>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 xml:space="preserve">Data recorded to prevent identification of </w:t>
            </w:r>
            <w:proofErr w:type="gramStart"/>
            <w:r w:rsidRPr="00EB7C2E">
              <w:rPr>
                <w:sz w:val="22"/>
                <w:szCs w:val="22"/>
              </w:rPr>
              <w:t>subjects?</w:t>
            </w:r>
            <w:proofErr w:type="gramEnd"/>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Prevention for risk of disclosure of subjects' responses outside the research (placing subjects at risk of criminal, civil liability, or damage financial standing, employability, or reputation)?</w:t>
            </w:r>
          </w:p>
          <w:p w:rsidR="00D54B16"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 xml:space="preserve"> </w:t>
            </w:r>
            <w:r w:rsidRPr="00EB7C2E">
              <w:rPr>
                <w:b/>
                <w:sz w:val="22"/>
                <w:szCs w:val="22"/>
              </w:rPr>
              <w:t xml:space="preserve">NO EXEMPTION AVAILABLE IF: </w:t>
            </w:r>
            <w:r w:rsidRPr="00EB7C2E">
              <w:rPr>
                <w:sz w:val="22"/>
                <w:szCs w:val="22"/>
              </w:rPr>
              <w:t>children are involved in survey or interview procedures;</w:t>
            </w:r>
            <w:r w:rsidRPr="00EB7C2E">
              <w:rPr>
                <w:b/>
                <w:sz w:val="22"/>
                <w:szCs w:val="22"/>
              </w:rPr>
              <w:t xml:space="preserve"> </w:t>
            </w:r>
            <w:r w:rsidRPr="00EB7C2E">
              <w:rPr>
                <w:sz w:val="22"/>
                <w:szCs w:val="22"/>
              </w:rPr>
              <w:t>children are involved in observation of public behavior and the observers participate in the activities observed.</w:t>
            </w:r>
          </w:p>
          <w:p w:rsidR="00DB6E5A" w:rsidRPr="00EB7C2E" w:rsidRDefault="00DB6E5A" w:rsidP="00EB7C2E">
            <w:pPr>
              <w:cnfStyle w:val="000000000000" w:firstRow="0" w:lastRow="0" w:firstColumn="0" w:lastColumn="0" w:oddVBand="0" w:evenVBand="0" w:oddHBand="0" w:evenHBand="0" w:firstRowFirstColumn="0" w:firstRowLastColumn="0" w:lastRowFirstColumn="0" w:lastRowLastColumn="0"/>
              <w:rPr>
                <w:b/>
                <w:sz w:val="22"/>
                <w:szCs w:val="22"/>
              </w:rPr>
            </w:pPr>
          </w:p>
        </w:tc>
        <w:tc>
          <w:tcPr>
            <w:tcW w:w="2091" w:type="dxa"/>
          </w:tcPr>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b/>
                <w:sz w:val="22"/>
                <w:szCs w:val="22"/>
              </w:rPr>
            </w:pPr>
          </w:p>
        </w:tc>
      </w:tr>
      <w:tr w:rsidR="00D54B16" w:rsidTr="00DB6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Pr>
          <w:p w:rsidR="00D54B16" w:rsidRPr="00EB7C2E" w:rsidRDefault="00D54B16" w:rsidP="00EB7C2E">
            <w:pPr>
              <w:rPr>
                <w:b w:val="0"/>
                <w:sz w:val="22"/>
                <w:szCs w:val="22"/>
              </w:rPr>
            </w:pPr>
          </w:p>
        </w:tc>
        <w:tc>
          <w:tcPr>
            <w:tcW w:w="6502" w:type="dxa"/>
          </w:tcPr>
          <w:p w:rsidR="00D54B16" w:rsidRPr="003B23C7" w:rsidRDefault="00D54B16" w:rsidP="00EB7C2E">
            <w:pPr>
              <w:cnfStyle w:val="000000100000" w:firstRow="0" w:lastRow="0" w:firstColumn="0" w:lastColumn="0" w:oddVBand="0" w:evenVBand="0" w:oddHBand="1" w:evenHBand="0" w:firstRowFirstColumn="0" w:firstRowLastColumn="0" w:lastRowFirstColumn="0" w:lastRowLastColumn="0"/>
              <w:rPr>
                <w:b/>
                <w:sz w:val="22"/>
                <w:szCs w:val="22"/>
              </w:rPr>
            </w:pPr>
            <w:r w:rsidRPr="00EB7C2E">
              <w:rPr>
                <w:b/>
                <w:sz w:val="22"/>
                <w:szCs w:val="22"/>
              </w:rPr>
              <w:t>Criteria #3: Benig</w:t>
            </w:r>
            <w:r w:rsidR="003B23C7">
              <w:rPr>
                <w:b/>
                <w:sz w:val="22"/>
                <w:szCs w:val="22"/>
              </w:rPr>
              <w:t>n Behavioral Interventions –New</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3. (</w:t>
            </w:r>
            <w:proofErr w:type="spellStart"/>
            <w:r w:rsidRPr="00EB7C2E">
              <w:rPr>
                <w:sz w:val="22"/>
                <w:szCs w:val="22"/>
              </w:rPr>
              <w:t>i</w:t>
            </w:r>
            <w:proofErr w:type="spellEnd"/>
            <w:r w:rsidRPr="00EB7C2E">
              <w:rPr>
                <w:sz w:val="22"/>
                <w:szCs w:val="22"/>
              </w:rPr>
              <w:t xml:space="preserve">)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 xml:space="preserve">   A. The information obtained is recorded by the investigator in such a manner that the identity of the human subjects cannot readily be ascertained, directly or through identifiers linked to the subjects; </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 xml:space="preserve">   B. Any disclosure of the human subjects’ responses outside the research would not reasonably place the subjects at risk of criminal or civil liability or be damaging to the subjects’ financial standing, employability, educational advancement, or reputation; or </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 xml:space="preserve">   C. The information obtained is recorded by the investigator in such a manner that the identity of the human subjects can readily be ascertained, directly or through identifiers linked to the subjects, and an IRB conducts a limited IRB review to make the determination required by .111(a)(7). </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 xml:space="preserve">3(ii)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w:t>
            </w:r>
            <w:proofErr w:type="gramStart"/>
            <w:r w:rsidRPr="00EB7C2E">
              <w:rPr>
                <w:sz w:val="22"/>
                <w:szCs w:val="22"/>
              </w:rPr>
              <w:t>are met</w:t>
            </w:r>
            <w:proofErr w:type="gramEnd"/>
            <w:r w:rsidRPr="00EB7C2E">
              <w:rPr>
                <w:sz w:val="22"/>
                <w:szCs w:val="22"/>
              </w:rPr>
              <w:t xml:space="preserve">, examples of such benign behavioral interventions would include having the subjects play an online game, having them solve puzzles under various noise conditions, or having them decide how to allocate a nominal amount of received cash between themselves and someone else. </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p>
          <w:p w:rsidR="00D54B16"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proofErr w:type="gramStart"/>
            <w:r w:rsidRPr="00EB7C2E">
              <w:rPr>
                <w:sz w:val="22"/>
                <w:szCs w:val="22"/>
              </w:rPr>
              <w:t>3(iii)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roofErr w:type="gramEnd"/>
          </w:p>
          <w:p w:rsidR="00DB6E5A" w:rsidRPr="00EB7C2E" w:rsidRDefault="00DB6E5A" w:rsidP="00EB7C2E">
            <w:pPr>
              <w:cnfStyle w:val="000000100000" w:firstRow="0" w:lastRow="0" w:firstColumn="0" w:lastColumn="0" w:oddVBand="0" w:evenVBand="0" w:oddHBand="1" w:evenHBand="0" w:firstRowFirstColumn="0" w:firstRowLastColumn="0" w:lastRowFirstColumn="0" w:lastRowLastColumn="0"/>
              <w:rPr>
                <w:sz w:val="22"/>
                <w:szCs w:val="22"/>
              </w:rPr>
            </w:pPr>
          </w:p>
        </w:tc>
        <w:tc>
          <w:tcPr>
            <w:tcW w:w="2091" w:type="dxa"/>
          </w:tcPr>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b/>
                <w:sz w:val="22"/>
                <w:szCs w:val="22"/>
              </w:rPr>
            </w:pPr>
          </w:p>
        </w:tc>
      </w:tr>
      <w:tr w:rsidR="00D54B16" w:rsidTr="00DB6E5A">
        <w:tc>
          <w:tcPr>
            <w:cnfStyle w:val="001000000000" w:firstRow="0" w:lastRow="0" w:firstColumn="1" w:lastColumn="0" w:oddVBand="0" w:evenVBand="0" w:oddHBand="0" w:evenHBand="0" w:firstRowFirstColumn="0" w:firstRowLastColumn="0" w:lastRowFirstColumn="0" w:lastRowLastColumn="0"/>
            <w:tcW w:w="757" w:type="dxa"/>
          </w:tcPr>
          <w:p w:rsidR="00D54B16" w:rsidRPr="00EB7C2E" w:rsidRDefault="00D54B16" w:rsidP="00EB7C2E">
            <w:pPr>
              <w:rPr>
                <w:b w:val="0"/>
                <w:sz w:val="22"/>
                <w:szCs w:val="22"/>
              </w:rPr>
            </w:pPr>
          </w:p>
        </w:tc>
        <w:tc>
          <w:tcPr>
            <w:tcW w:w="6502" w:type="dxa"/>
          </w:tcPr>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b/>
                <w:sz w:val="22"/>
                <w:szCs w:val="22"/>
              </w:rPr>
            </w:pPr>
            <w:r w:rsidRPr="00EB7C2E">
              <w:rPr>
                <w:b/>
                <w:sz w:val="22"/>
                <w:szCs w:val="22"/>
              </w:rPr>
              <w:t>Criteria #4: Secondary research .104(d)(4)</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 xml:space="preserve">Secondary research for which consent is not required: Secondary research uses of identifiable private information or identifiable biospecimens, if at least one of the following criteria is met: </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w:t>
            </w:r>
            <w:proofErr w:type="spellStart"/>
            <w:r w:rsidRPr="00EB7C2E">
              <w:rPr>
                <w:sz w:val="22"/>
                <w:szCs w:val="22"/>
              </w:rPr>
              <w:t>i</w:t>
            </w:r>
            <w:proofErr w:type="spellEnd"/>
            <w:r w:rsidRPr="00EB7C2E">
              <w:rPr>
                <w:sz w:val="22"/>
                <w:szCs w:val="22"/>
              </w:rPr>
              <w:t>)</w:t>
            </w:r>
            <w:r w:rsidRPr="00EB7C2E">
              <w:rPr>
                <w:sz w:val="22"/>
                <w:szCs w:val="22"/>
              </w:rPr>
              <w:tab/>
              <w:t>The identifiable private information or identifiable biospecimens are publicly available;</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(ii)</w:t>
            </w:r>
            <w:r w:rsidRPr="00EB7C2E">
              <w:rPr>
                <w:sz w:val="22"/>
                <w:szCs w:val="22"/>
              </w:rPr>
              <w:tab/>
              <w:t xml:space="preserve">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(iii)</w:t>
            </w:r>
            <w:r w:rsidRPr="00EB7C2E">
              <w:rPr>
                <w:sz w:val="22"/>
                <w:szCs w:val="22"/>
              </w:rPr>
              <w:tab/>
              <w:t>The research involves only information collection and analysis involving the investigator’s use of identifiable health information when that use is regulated under 45 CFR parts 160 and 164…. [HIPAA]</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(iv)</w:t>
            </w:r>
            <w:r w:rsidRPr="00EB7C2E">
              <w:rPr>
                <w:sz w:val="22"/>
                <w:szCs w:val="22"/>
              </w:rPr>
              <w:tab/>
              <w:t xml:space="preserve">The research </w:t>
            </w:r>
            <w:proofErr w:type="gramStart"/>
            <w:r w:rsidRPr="00EB7C2E">
              <w:rPr>
                <w:sz w:val="22"/>
                <w:szCs w:val="22"/>
              </w:rPr>
              <w:t>is conducted</w:t>
            </w:r>
            <w:proofErr w:type="gramEnd"/>
            <w:r w:rsidRPr="00EB7C2E">
              <w:rPr>
                <w:sz w:val="22"/>
                <w:szCs w:val="22"/>
              </w:rPr>
              <w:t xml:space="preserve">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[various federal privacy laws.]</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 xml:space="preserve">Important note here: The information or biospecimens </w:t>
            </w:r>
            <w:r w:rsidR="00280BA8" w:rsidRPr="00EB7C2E">
              <w:rPr>
                <w:sz w:val="22"/>
                <w:szCs w:val="22"/>
              </w:rPr>
              <w:t>do not</w:t>
            </w:r>
            <w:r w:rsidRPr="00EB7C2E">
              <w:rPr>
                <w:sz w:val="22"/>
                <w:szCs w:val="22"/>
              </w:rPr>
              <w:t xml:space="preserve"> have to be existing at the time of the exemption </w:t>
            </w:r>
            <w:r w:rsidR="00280BA8" w:rsidRPr="00EB7C2E">
              <w:rPr>
                <w:sz w:val="22"/>
                <w:szCs w:val="22"/>
              </w:rPr>
              <w:t>determination;</w:t>
            </w:r>
            <w:r w:rsidRPr="00EB7C2E">
              <w:rPr>
                <w:sz w:val="22"/>
                <w:szCs w:val="22"/>
              </w:rPr>
              <w:t xml:space="preserve"> they can be collected into the fu</w:t>
            </w:r>
            <w:r w:rsidR="00280BA8">
              <w:rPr>
                <w:sz w:val="22"/>
                <w:szCs w:val="22"/>
              </w:rPr>
              <w:t xml:space="preserve">ture. The data can </w:t>
            </w:r>
            <w:proofErr w:type="gramStart"/>
            <w:r w:rsidR="00280BA8">
              <w:rPr>
                <w:sz w:val="22"/>
                <w:szCs w:val="22"/>
              </w:rPr>
              <w:t>be collected</w:t>
            </w:r>
            <w:proofErr w:type="gramEnd"/>
            <w:r w:rsidR="00280BA8">
              <w:rPr>
                <w:sz w:val="22"/>
                <w:szCs w:val="22"/>
              </w:rPr>
              <w:t xml:space="preserve"> </w:t>
            </w:r>
            <w:r w:rsidRPr="00EB7C2E">
              <w:rPr>
                <w:sz w:val="22"/>
                <w:szCs w:val="22"/>
              </w:rPr>
              <w:t>prospectively and still be used for exempt research under Category 4 in the Final Rule.</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Involves collection/study of existing archival data, specimens, or diagnostic specimens (publicly available or recorded to protect identity of subjects).</w:t>
            </w:r>
          </w:p>
        </w:tc>
        <w:tc>
          <w:tcPr>
            <w:tcW w:w="2091" w:type="dxa"/>
          </w:tcPr>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b/>
                <w:sz w:val="22"/>
                <w:szCs w:val="22"/>
              </w:rPr>
            </w:pPr>
          </w:p>
        </w:tc>
      </w:tr>
      <w:tr w:rsidR="00D54B16" w:rsidTr="00DB6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Pr>
          <w:p w:rsidR="00D54B16" w:rsidRPr="00EB7C2E" w:rsidRDefault="00D54B16" w:rsidP="00EB7C2E">
            <w:pPr>
              <w:rPr>
                <w:b w:val="0"/>
                <w:sz w:val="22"/>
                <w:szCs w:val="22"/>
              </w:rPr>
            </w:pPr>
          </w:p>
        </w:tc>
        <w:tc>
          <w:tcPr>
            <w:tcW w:w="6502" w:type="dxa"/>
          </w:tcPr>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b/>
                <w:sz w:val="22"/>
                <w:szCs w:val="22"/>
              </w:rPr>
            </w:pPr>
            <w:r w:rsidRPr="00EB7C2E">
              <w:rPr>
                <w:b/>
                <w:sz w:val="22"/>
                <w:szCs w:val="22"/>
              </w:rPr>
              <w:t>Criteria #5: Federal Research and Demonstration Project.104(d)(5)</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 xml:space="preserve">Research and demonstration projects that </w:t>
            </w:r>
            <w:proofErr w:type="gramStart"/>
            <w:r w:rsidRPr="00EB7C2E">
              <w:rPr>
                <w:sz w:val="22"/>
                <w:szCs w:val="22"/>
              </w:rPr>
              <w:t>are conducted or supported by a Federal department or agency, and that</w:t>
            </w:r>
            <w:proofErr w:type="gramEnd"/>
            <w:r w:rsidRPr="00EB7C2E">
              <w:rPr>
                <w:sz w:val="22"/>
                <w:szCs w:val="22"/>
              </w:rPr>
              <w:t xml:space="preserve"> are designed to study, evaluate, improve, or otherwise examine public benefit or service programs.</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 xml:space="preserve">New requirement:  Each agency must maintain a public list of these projects, to </w:t>
            </w:r>
            <w:proofErr w:type="gramStart"/>
            <w:r w:rsidRPr="00EB7C2E">
              <w:rPr>
                <w:sz w:val="22"/>
                <w:szCs w:val="22"/>
              </w:rPr>
              <w:t>be published</w:t>
            </w:r>
            <w:proofErr w:type="gramEnd"/>
            <w:r w:rsidRPr="00EB7C2E">
              <w:rPr>
                <w:sz w:val="22"/>
                <w:szCs w:val="22"/>
              </w:rPr>
              <w:t xml:space="preserve"> prior to conducting the research. Research and/or demonstration project, subject to approval of  department/agency head, designed to  study, evaluate:</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public benefit or service programs</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procedures to obtain benefits/services</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changes/alternatives to programs/procedures</w:t>
            </w:r>
          </w:p>
          <w:p w:rsidR="00D54B16" w:rsidRPr="00EB7C2E" w:rsidRDefault="00D54B16">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changes in methods/levels o</w:t>
            </w:r>
            <w:r w:rsidR="003B23C7">
              <w:rPr>
                <w:sz w:val="22"/>
                <w:szCs w:val="22"/>
              </w:rPr>
              <w:t>f payment for benefits/services</w:t>
            </w:r>
          </w:p>
        </w:tc>
        <w:tc>
          <w:tcPr>
            <w:tcW w:w="2091" w:type="dxa"/>
          </w:tcPr>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b/>
                <w:sz w:val="22"/>
                <w:szCs w:val="22"/>
              </w:rPr>
            </w:pPr>
          </w:p>
        </w:tc>
      </w:tr>
      <w:tr w:rsidR="00D54B16" w:rsidTr="00DB6E5A">
        <w:tc>
          <w:tcPr>
            <w:cnfStyle w:val="001000000000" w:firstRow="0" w:lastRow="0" w:firstColumn="1" w:lastColumn="0" w:oddVBand="0" w:evenVBand="0" w:oddHBand="0" w:evenHBand="0" w:firstRowFirstColumn="0" w:firstRowLastColumn="0" w:lastRowFirstColumn="0" w:lastRowLastColumn="0"/>
            <w:tcW w:w="757" w:type="dxa"/>
          </w:tcPr>
          <w:p w:rsidR="00D54B16" w:rsidRPr="00EB7C2E" w:rsidRDefault="00D54B16" w:rsidP="00EB7C2E">
            <w:pPr>
              <w:rPr>
                <w:b w:val="0"/>
                <w:sz w:val="22"/>
                <w:szCs w:val="22"/>
              </w:rPr>
            </w:pPr>
          </w:p>
        </w:tc>
        <w:tc>
          <w:tcPr>
            <w:tcW w:w="6502" w:type="dxa"/>
          </w:tcPr>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b/>
                <w:sz w:val="22"/>
                <w:szCs w:val="22"/>
              </w:rPr>
              <w:t>Criteria #6: Unchanged Taste and food quality evaluation and consumer acceptance studies. .104(d)(6</w:t>
            </w:r>
            <w:r w:rsidRPr="00EB7C2E">
              <w:rPr>
                <w:sz w:val="22"/>
                <w:szCs w:val="22"/>
              </w:rPr>
              <w:t xml:space="preserve">) </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Involves taste and food quality evaluation; consumer acceptance studies</w:t>
            </w:r>
          </w:p>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a)</w:t>
            </w:r>
            <w:r w:rsidRPr="00EB7C2E">
              <w:rPr>
                <w:sz w:val="22"/>
                <w:szCs w:val="22"/>
              </w:rPr>
              <w:tab/>
              <w:t>wholesome foods without additives are consumed</w:t>
            </w:r>
          </w:p>
          <w:p w:rsidR="00D54B16"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sz w:val="22"/>
                <w:szCs w:val="22"/>
              </w:rPr>
              <w:t>b)</w:t>
            </w:r>
            <w:r w:rsidRPr="00EB7C2E">
              <w:rPr>
                <w:sz w:val="22"/>
                <w:szCs w:val="22"/>
              </w:rPr>
              <w:tab/>
              <w:t>food consumed is at or below safe level; agricultural chemical, environmental contaminant at or below safe levels (established by FDA, EPA or USDA)</w:t>
            </w:r>
          </w:p>
          <w:p w:rsidR="003B23C7" w:rsidRPr="00EB7C2E" w:rsidRDefault="003B23C7" w:rsidP="00EB7C2E">
            <w:pPr>
              <w:cnfStyle w:val="000000000000" w:firstRow="0" w:lastRow="0" w:firstColumn="0" w:lastColumn="0" w:oddVBand="0" w:evenVBand="0" w:oddHBand="0" w:evenHBand="0" w:firstRowFirstColumn="0" w:firstRowLastColumn="0" w:lastRowFirstColumn="0" w:lastRowLastColumn="0"/>
              <w:rPr>
                <w:sz w:val="22"/>
                <w:szCs w:val="22"/>
              </w:rPr>
            </w:pPr>
          </w:p>
        </w:tc>
        <w:tc>
          <w:tcPr>
            <w:tcW w:w="2091" w:type="dxa"/>
          </w:tcPr>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b/>
                <w:sz w:val="22"/>
                <w:szCs w:val="22"/>
              </w:rPr>
            </w:pPr>
          </w:p>
        </w:tc>
      </w:tr>
      <w:tr w:rsidR="00D54B16" w:rsidTr="00DB6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Pr>
          <w:p w:rsidR="00D54B16" w:rsidRPr="00EB7C2E" w:rsidRDefault="00D54B16" w:rsidP="00EB7C2E">
            <w:pPr>
              <w:rPr>
                <w:b w:val="0"/>
                <w:sz w:val="22"/>
                <w:szCs w:val="22"/>
              </w:rPr>
            </w:pPr>
          </w:p>
        </w:tc>
        <w:tc>
          <w:tcPr>
            <w:tcW w:w="6502" w:type="dxa"/>
          </w:tcPr>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b/>
                <w:sz w:val="22"/>
                <w:szCs w:val="22"/>
              </w:rPr>
            </w:pPr>
            <w:r w:rsidRPr="00EB7C2E">
              <w:rPr>
                <w:b/>
                <w:sz w:val="22"/>
                <w:szCs w:val="22"/>
              </w:rPr>
              <w:t>Criteria #7 New</w:t>
            </w:r>
            <w:r w:rsidRPr="00EB7C2E">
              <w:rPr>
                <w:b/>
                <w:sz w:val="22"/>
                <w:szCs w:val="22"/>
              </w:rPr>
              <w:t>:</w:t>
            </w:r>
            <w:r w:rsidRPr="00EB7C2E">
              <w:rPr>
                <w:b/>
                <w:sz w:val="22"/>
                <w:szCs w:val="22"/>
              </w:rPr>
              <w:t xml:space="preserve"> Storage and maintenance for secondary research .104(d)(7</w:t>
            </w:r>
            <w:r w:rsidRPr="00EB7C2E">
              <w:rPr>
                <w:b/>
                <w:sz w:val="22"/>
                <w:szCs w:val="22"/>
              </w:rPr>
              <w:t>)</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 46.111(a)(8). This category is for the storage of identifiable biospecimens and identifiable private information, prior to secondary analysis.</w:t>
            </w:r>
          </w:p>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sz w:val="22"/>
                <w:szCs w:val="22"/>
              </w:rPr>
            </w:pPr>
            <w:r w:rsidRPr="00EB7C2E">
              <w:rPr>
                <w:sz w:val="22"/>
                <w:szCs w:val="22"/>
              </w:rPr>
              <w:t>Note: The storage and maintenance may be exempt if the IRB conducts a limited IRB review to determine that there are adequate provisions to protect the privacy of subjects and maintain the confidentiality of data, and if broad consent is obtained.</w:t>
            </w:r>
          </w:p>
        </w:tc>
        <w:tc>
          <w:tcPr>
            <w:tcW w:w="2091" w:type="dxa"/>
          </w:tcPr>
          <w:p w:rsidR="00D54B16" w:rsidRPr="00EB7C2E" w:rsidRDefault="00D54B16" w:rsidP="00EB7C2E">
            <w:pPr>
              <w:cnfStyle w:val="000000100000" w:firstRow="0" w:lastRow="0" w:firstColumn="0" w:lastColumn="0" w:oddVBand="0" w:evenVBand="0" w:oddHBand="1" w:evenHBand="0" w:firstRowFirstColumn="0" w:firstRowLastColumn="0" w:lastRowFirstColumn="0" w:lastRowLastColumn="0"/>
              <w:rPr>
                <w:b/>
                <w:sz w:val="22"/>
                <w:szCs w:val="22"/>
              </w:rPr>
            </w:pPr>
          </w:p>
        </w:tc>
      </w:tr>
      <w:tr w:rsidR="00D54B16" w:rsidTr="00DB6E5A">
        <w:tc>
          <w:tcPr>
            <w:cnfStyle w:val="001000000000" w:firstRow="0" w:lastRow="0" w:firstColumn="1" w:lastColumn="0" w:oddVBand="0" w:evenVBand="0" w:oddHBand="0" w:evenHBand="0" w:firstRowFirstColumn="0" w:firstRowLastColumn="0" w:lastRowFirstColumn="0" w:lastRowLastColumn="0"/>
            <w:tcW w:w="757" w:type="dxa"/>
          </w:tcPr>
          <w:p w:rsidR="00D54B16" w:rsidRPr="00EB7C2E" w:rsidRDefault="00D54B16" w:rsidP="00EB7C2E">
            <w:pPr>
              <w:rPr>
                <w:b w:val="0"/>
                <w:sz w:val="22"/>
                <w:szCs w:val="22"/>
              </w:rPr>
            </w:pPr>
          </w:p>
        </w:tc>
        <w:tc>
          <w:tcPr>
            <w:tcW w:w="6502" w:type="dxa"/>
          </w:tcPr>
          <w:p w:rsidR="00D54B16"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r w:rsidRPr="00EB7C2E">
              <w:rPr>
                <w:b/>
                <w:sz w:val="22"/>
                <w:szCs w:val="22"/>
              </w:rPr>
              <w:t>Criteria #8 New</w:t>
            </w:r>
            <w:r w:rsidRPr="00EB7C2E">
              <w:rPr>
                <w:b/>
                <w:sz w:val="22"/>
                <w:szCs w:val="22"/>
              </w:rPr>
              <w:t>:</w:t>
            </w:r>
            <w:r w:rsidRPr="00EB7C2E">
              <w:rPr>
                <w:b/>
                <w:sz w:val="22"/>
                <w:szCs w:val="22"/>
              </w:rPr>
              <w:t xml:space="preserve"> Use of information or biospecimens in secondary research .104(d)(8)</w:t>
            </w:r>
            <w:r w:rsidR="003B23C7">
              <w:rPr>
                <w:sz w:val="22"/>
                <w:szCs w:val="22"/>
              </w:rPr>
              <w:t xml:space="preserve"> </w:t>
            </w:r>
          </w:p>
          <w:p w:rsidR="003B23C7" w:rsidRPr="00EB7C2E" w:rsidRDefault="003B23C7" w:rsidP="00EB7C2E">
            <w:pPr>
              <w:cnfStyle w:val="000000000000" w:firstRow="0" w:lastRow="0" w:firstColumn="0" w:lastColumn="0" w:oddVBand="0" w:evenVBand="0" w:oddHBand="0" w:evenHBand="0" w:firstRowFirstColumn="0" w:firstRowLastColumn="0" w:lastRowFirstColumn="0" w:lastRowLastColumn="0"/>
              <w:rPr>
                <w:sz w:val="22"/>
                <w:szCs w:val="22"/>
              </w:rPr>
            </w:pPr>
          </w:p>
          <w:p w:rsidR="00D54B16" w:rsidRDefault="00D54B16" w:rsidP="00EB7C2E">
            <w:pPr>
              <w:cnfStyle w:val="000000000000" w:firstRow="0" w:lastRow="0" w:firstColumn="0" w:lastColumn="0" w:oddVBand="0" w:evenVBand="0" w:oddHBand="0" w:evenHBand="0" w:firstRowFirstColumn="0" w:firstRowLastColumn="0" w:lastRowFirstColumn="0" w:lastRowLastColumn="0"/>
              <w:rPr>
                <w:sz w:val="22"/>
                <w:szCs w:val="22"/>
              </w:rPr>
            </w:pPr>
            <w:proofErr w:type="gramStart"/>
            <w:r w:rsidRPr="00EB7C2E">
              <w:rPr>
                <w:sz w:val="22"/>
                <w:szCs w:val="22"/>
              </w:rPr>
              <w:t>Secondary research for which broad consent is required: Research involving the use of identifiable private information or identifiable biospecimens for secondary research use, if the following criteria are met: – Broad consent was obtained, – Consent documented or has waiver of documentation, – IRB conducts a limited review under 46.111(a)(7), and – The investigator does not include returning individual research results to subjects as part of the study plan.</w:t>
            </w:r>
            <w:proofErr w:type="gramEnd"/>
          </w:p>
          <w:p w:rsidR="00DB6E5A" w:rsidRPr="00EB7C2E" w:rsidRDefault="00DB6E5A" w:rsidP="00EB7C2E">
            <w:pPr>
              <w:cnfStyle w:val="000000000000" w:firstRow="0" w:lastRow="0" w:firstColumn="0" w:lastColumn="0" w:oddVBand="0" w:evenVBand="0" w:oddHBand="0" w:evenHBand="0" w:firstRowFirstColumn="0" w:firstRowLastColumn="0" w:lastRowFirstColumn="0" w:lastRowLastColumn="0"/>
              <w:rPr>
                <w:sz w:val="22"/>
                <w:szCs w:val="22"/>
              </w:rPr>
            </w:pPr>
          </w:p>
        </w:tc>
        <w:tc>
          <w:tcPr>
            <w:tcW w:w="2091" w:type="dxa"/>
          </w:tcPr>
          <w:p w:rsidR="00D54B16" w:rsidRPr="00EB7C2E" w:rsidRDefault="00D54B16" w:rsidP="00EB7C2E">
            <w:pPr>
              <w:cnfStyle w:val="000000000000" w:firstRow="0" w:lastRow="0" w:firstColumn="0" w:lastColumn="0" w:oddVBand="0" w:evenVBand="0" w:oddHBand="0" w:evenHBand="0" w:firstRowFirstColumn="0" w:firstRowLastColumn="0" w:lastRowFirstColumn="0" w:lastRowLastColumn="0"/>
              <w:rPr>
                <w:b/>
                <w:sz w:val="22"/>
                <w:szCs w:val="22"/>
              </w:rPr>
            </w:pPr>
          </w:p>
        </w:tc>
      </w:tr>
    </w:tbl>
    <w:p w:rsidR="00EB7C2E" w:rsidRDefault="00EB7C2E"/>
    <w:p w:rsidR="00DB6E5A" w:rsidRPr="00A1418A" w:rsidRDefault="00DB6E5A" w:rsidP="00DB6E5A">
      <w:pPr>
        <w:ind w:left="720"/>
        <w:rPr>
          <w:b/>
          <w:sz w:val="22"/>
          <w:szCs w:val="20"/>
        </w:rPr>
      </w:pPr>
      <w:r w:rsidRPr="00A1418A">
        <w:rPr>
          <w:b/>
          <w:sz w:val="22"/>
          <w:szCs w:val="20"/>
        </w:rPr>
        <w:t>Comments:</w:t>
      </w:r>
    </w:p>
    <w:p w:rsidR="00DB6E5A" w:rsidRPr="00A1418A" w:rsidRDefault="00DB6E5A" w:rsidP="00DB6E5A">
      <w:pPr>
        <w:numPr>
          <w:ilvl w:val="0"/>
          <w:numId w:val="1"/>
        </w:numPr>
        <w:rPr>
          <w:sz w:val="22"/>
          <w:szCs w:val="20"/>
        </w:rPr>
      </w:pPr>
      <w:r w:rsidRPr="00A1418A">
        <w:rPr>
          <w:sz w:val="22"/>
          <w:szCs w:val="20"/>
        </w:rPr>
        <w:t>Final Rule allows research with children to be exempt for categories 1, 4, 5, 6, 7, and 8.</w:t>
      </w:r>
    </w:p>
    <w:p w:rsidR="00DB6E5A" w:rsidRPr="00A1418A" w:rsidRDefault="00DB6E5A" w:rsidP="00DB6E5A">
      <w:pPr>
        <w:numPr>
          <w:ilvl w:val="0"/>
          <w:numId w:val="1"/>
        </w:numPr>
        <w:rPr>
          <w:sz w:val="22"/>
          <w:szCs w:val="20"/>
        </w:rPr>
      </w:pPr>
      <w:r w:rsidRPr="00A1418A">
        <w:rPr>
          <w:sz w:val="22"/>
          <w:szCs w:val="20"/>
        </w:rPr>
        <w:t xml:space="preserve">For exempt </w:t>
      </w:r>
      <w:r w:rsidRPr="00A1418A">
        <w:rPr>
          <w:sz w:val="22"/>
          <w:szCs w:val="20"/>
        </w:rPr>
        <w:t>categories,</w:t>
      </w:r>
      <w:r w:rsidRPr="00A1418A">
        <w:rPr>
          <w:sz w:val="22"/>
          <w:szCs w:val="20"/>
        </w:rPr>
        <w:t xml:space="preserve"> 7 &amp; 8, </w:t>
      </w:r>
      <w:r w:rsidRPr="00A1418A">
        <w:rPr>
          <w:b/>
          <w:sz w:val="22"/>
          <w:szCs w:val="20"/>
        </w:rPr>
        <w:t xml:space="preserve">limited IRB review </w:t>
      </w:r>
      <w:r w:rsidRPr="00A1418A">
        <w:rPr>
          <w:sz w:val="22"/>
          <w:szCs w:val="20"/>
        </w:rPr>
        <w:t xml:space="preserve">is always required. </w:t>
      </w:r>
    </w:p>
    <w:p w:rsidR="00DB6E5A" w:rsidRPr="00A1418A" w:rsidRDefault="00DB6E5A" w:rsidP="00DB6E5A">
      <w:pPr>
        <w:numPr>
          <w:ilvl w:val="0"/>
          <w:numId w:val="1"/>
        </w:numPr>
        <w:rPr>
          <w:sz w:val="22"/>
          <w:szCs w:val="20"/>
        </w:rPr>
      </w:pPr>
      <w:r w:rsidRPr="00A1418A">
        <w:rPr>
          <w:sz w:val="22"/>
          <w:szCs w:val="20"/>
        </w:rPr>
        <w:t>It is</w:t>
      </w:r>
      <w:r w:rsidRPr="00A1418A">
        <w:rPr>
          <w:sz w:val="22"/>
          <w:szCs w:val="20"/>
        </w:rPr>
        <w:t xml:space="preserve"> also important to remember that exempt categories 7 &amp; 8 are only available for use when </w:t>
      </w:r>
      <w:r w:rsidRPr="00A1418A">
        <w:rPr>
          <w:b/>
          <w:sz w:val="22"/>
          <w:szCs w:val="20"/>
        </w:rPr>
        <w:t>broad consent</w:t>
      </w:r>
      <w:r w:rsidRPr="00A1418A">
        <w:rPr>
          <w:sz w:val="22"/>
          <w:szCs w:val="20"/>
        </w:rPr>
        <w:t xml:space="preserve"> will be (or has been) obtained.</w:t>
      </w:r>
    </w:p>
    <w:p w:rsidR="00DB6E5A" w:rsidRPr="00A1418A" w:rsidRDefault="00DB6E5A" w:rsidP="00DB6E5A">
      <w:pPr>
        <w:ind w:left="360"/>
        <w:rPr>
          <w:rFonts w:ascii="Arial" w:hAnsi="Arial" w:cs="Arial"/>
          <w:sz w:val="22"/>
          <w:szCs w:val="20"/>
        </w:rPr>
      </w:pPr>
    </w:p>
    <w:p w:rsidR="00DB6E5A" w:rsidRDefault="00DB6E5A">
      <w:bookmarkStart w:id="0" w:name="_GoBack"/>
      <w:bookmarkEnd w:id="0"/>
    </w:p>
    <w:sectPr w:rsidR="00DB6E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791" w:rsidRDefault="000E4791" w:rsidP="00D54B16">
      <w:r>
        <w:separator/>
      </w:r>
    </w:p>
  </w:endnote>
  <w:endnote w:type="continuationSeparator" w:id="0">
    <w:p w:rsidR="000E4791" w:rsidRDefault="000E4791" w:rsidP="00D5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841503219"/>
      <w:docPartObj>
        <w:docPartGallery w:val="Page Numbers (Bottom of Page)"/>
        <w:docPartUnique/>
      </w:docPartObj>
    </w:sdtPr>
    <w:sdtContent>
      <w:sdt>
        <w:sdtPr>
          <w:rPr>
            <w:sz w:val="18"/>
          </w:rPr>
          <w:id w:val="-1769616900"/>
          <w:docPartObj>
            <w:docPartGallery w:val="Page Numbers (Top of Page)"/>
            <w:docPartUnique/>
          </w:docPartObj>
        </w:sdtPr>
        <w:sdtContent>
          <w:p w:rsidR="00DB6E5A" w:rsidRPr="00DB6E5A" w:rsidRDefault="00DB6E5A">
            <w:pPr>
              <w:pStyle w:val="Footer"/>
              <w:jc w:val="right"/>
              <w:rPr>
                <w:sz w:val="18"/>
              </w:rPr>
            </w:pPr>
            <w:r w:rsidRPr="00DB6E5A">
              <w:rPr>
                <w:sz w:val="18"/>
              </w:rPr>
              <w:t xml:space="preserve">Page </w:t>
            </w:r>
            <w:r w:rsidRPr="00DB6E5A">
              <w:rPr>
                <w:b/>
                <w:bCs/>
                <w:sz w:val="18"/>
              </w:rPr>
              <w:fldChar w:fldCharType="begin"/>
            </w:r>
            <w:r w:rsidRPr="00DB6E5A">
              <w:rPr>
                <w:b/>
                <w:bCs/>
                <w:sz w:val="18"/>
              </w:rPr>
              <w:instrText xml:space="preserve"> PAGE </w:instrText>
            </w:r>
            <w:r w:rsidRPr="00DB6E5A">
              <w:rPr>
                <w:b/>
                <w:bCs/>
                <w:sz w:val="18"/>
              </w:rPr>
              <w:fldChar w:fldCharType="separate"/>
            </w:r>
            <w:r w:rsidR="00F326BF">
              <w:rPr>
                <w:b/>
                <w:bCs/>
                <w:noProof/>
                <w:sz w:val="18"/>
              </w:rPr>
              <w:t>3</w:t>
            </w:r>
            <w:r w:rsidRPr="00DB6E5A">
              <w:rPr>
                <w:b/>
                <w:bCs/>
                <w:sz w:val="18"/>
              </w:rPr>
              <w:fldChar w:fldCharType="end"/>
            </w:r>
            <w:r w:rsidRPr="00DB6E5A">
              <w:rPr>
                <w:sz w:val="18"/>
              </w:rPr>
              <w:t xml:space="preserve"> of </w:t>
            </w:r>
            <w:r w:rsidRPr="00DB6E5A">
              <w:rPr>
                <w:b/>
                <w:bCs/>
                <w:sz w:val="18"/>
              </w:rPr>
              <w:fldChar w:fldCharType="begin"/>
            </w:r>
            <w:r w:rsidRPr="00DB6E5A">
              <w:rPr>
                <w:b/>
                <w:bCs/>
                <w:sz w:val="18"/>
              </w:rPr>
              <w:instrText xml:space="preserve"> NUMPAGES  </w:instrText>
            </w:r>
            <w:r w:rsidRPr="00DB6E5A">
              <w:rPr>
                <w:b/>
                <w:bCs/>
                <w:sz w:val="18"/>
              </w:rPr>
              <w:fldChar w:fldCharType="separate"/>
            </w:r>
            <w:r w:rsidR="00F326BF">
              <w:rPr>
                <w:b/>
                <w:bCs/>
                <w:noProof/>
                <w:sz w:val="18"/>
              </w:rPr>
              <w:t>4</w:t>
            </w:r>
            <w:r w:rsidRPr="00DB6E5A">
              <w:rPr>
                <w:b/>
                <w:bCs/>
                <w:sz w:val="18"/>
              </w:rPr>
              <w:fldChar w:fldCharType="end"/>
            </w:r>
          </w:p>
        </w:sdtContent>
      </w:sdt>
    </w:sdtContent>
  </w:sdt>
  <w:p w:rsidR="00DB6E5A" w:rsidRPr="00F326BF" w:rsidRDefault="00F326BF">
    <w:pPr>
      <w:pStyle w:val="Footer"/>
      <w:rPr>
        <w:sz w:val="18"/>
      </w:rPr>
    </w:pPr>
    <w:r w:rsidRPr="00F326BF">
      <w:rPr>
        <w:sz w:val="18"/>
      </w:rPr>
      <w:t>Feb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791" w:rsidRDefault="000E4791" w:rsidP="00D54B16">
      <w:r>
        <w:separator/>
      </w:r>
    </w:p>
  </w:footnote>
  <w:footnote w:type="continuationSeparator" w:id="0">
    <w:p w:rsidR="000E4791" w:rsidRDefault="000E4791" w:rsidP="00D5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C7" w:rsidRDefault="003B23C7">
    <w:pPr>
      <w:pStyle w:val="Header"/>
    </w:pPr>
    <w:r>
      <w:rPr>
        <w:rFonts w:ascii="Arial" w:hAnsi="Arial" w:cs="Arial"/>
        <w:sz w:val="18"/>
      </w:rPr>
      <w:tab/>
    </w:r>
    <w:r>
      <w:rPr>
        <w:rFonts w:ascii="Arial" w:hAnsi="Arial" w:cs="Arial"/>
        <w:sz w:val="18"/>
      </w:rPr>
      <w:tab/>
    </w:r>
    <w:r w:rsidRPr="00396EAA">
      <w:rPr>
        <w:rFonts w:ascii="Arial" w:hAnsi="Arial" w:cs="Arial"/>
        <w:sz w:val="18"/>
      </w:rPr>
      <w:t>Exempt Evaluation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7FA"/>
    <w:multiLevelType w:val="hybridMultilevel"/>
    <w:tmpl w:val="9980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2E"/>
    <w:rsid w:val="00062577"/>
    <w:rsid w:val="000E4791"/>
    <w:rsid w:val="00280BA8"/>
    <w:rsid w:val="003B23C7"/>
    <w:rsid w:val="00512C1D"/>
    <w:rsid w:val="00A1418A"/>
    <w:rsid w:val="00D54B16"/>
    <w:rsid w:val="00DB6E5A"/>
    <w:rsid w:val="00EB7C2E"/>
    <w:rsid w:val="00F3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E8804"/>
  <w15:chartTrackingRefBased/>
  <w15:docId w15:val="{3F64FED4-FE91-4180-9E9E-A7F07E5F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C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B16"/>
    <w:pPr>
      <w:tabs>
        <w:tab w:val="center" w:pos="4680"/>
        <w:tab w:val="right" w:pos="9360"/>
      </w:tabs>
    </w:pPr>
  </w:style>
  <w:style w:type="character" w:customStyle="1" w:styleId="HeaderChar">
    <w:name w:val="Header Char"/>
    <w:basedOn w:val="DefaultParagraphFont"/>
    <w:link w:val="Header"/>
    <w:uiPriority w:val="99"/>
    <w:rsid w:val="00D54B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4B16"/>
    <w:pPr>
      <w:tabs>
        <w:tab w:val="center" w:pos="4680"/>
        <w:tab w:val="right" w:pos="9360"/>
      </w:tabs>
    </w:pPr>
  </w:style>
  <w:style w:type="character" w:customStyle="1" w:styleId="FooterChar">
    <w:name w:val="Footer Char"/>
    <w:basedOn w:val="DefaultParagraphFont"/>
    <w:link w:val="Footer"/>
    <w:uiPriority w:val="99"/>
    <w:rsid w:val="00D54B16"/>
    <w:rPr>
      <w:rFonts w:ascii="Times New Roman" w:eastAsia="Times New Roman" w:hAnsi="Times New Roman" w:cs="Times New Roman"/>
      <w:sz w:val="24"/>
      <w:szCs w:val="24"/>
    </w:rPr>
  </w:style>
  <w:style w:type="table" w:styleId="GridTable4-Accent5">
    <w:name w:val="Grid Table 4 Accent 5"/>
    <w:basedOn w:val="TableNormal"/>
    <w:uiPriority w:val="49"/>
    <w:rsid w:val="003B23C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3B23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Figueroa</dc:creator>
  <cp:keywords/>
  <dc:description/>
  <cp:lastModifiedBy>Wanda Figueroa</cp:lastModifiedBy>
  <cp:revision>4</cp:revision>
  <dcterms:created xsi:type="dcterms:W3CDTF">2019-02-20T20:31:00Z</dcterms:created>
  <dcterms:modified xsi:type="dcterms:W3CDTF">2019-02-20T21:27:00Z</dcterms:modified>
</cp:coreProperties>
</file>